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F5E030">
      <w:pPr>
        <w:pStyle w:val="10"/>
        <w:tabs>
          <w:tab w:val="right" w:leader="dot" w:pos="5669"/>
        </w:tabs>
        <w:jc w:val="center"/>
        <w:rPr>
          <w:rFonts w:hint="eastAsia" w:ascii="Times New Roman" w:hAnsi="Times New Roman" w:eastAsia="方正小标宋_GBK" w:cs="Times New Roman"/>
          <w:bCs/>
          <w:spacing w:val="0"/>
          <w:kern w:val="44"/>
          <w:sz w:val="52"/>
          <w:szCs w:val="52"/>
          <w:lang w:val="en-US" w:eastAsia="zh-CN"/>
        </w:rPr>
      </w:pPr>
      <w:bookmarkStart w:id="0" w:name="_Toc13324"/>
    </w:p>
    <w:p w14:paraId="3AE9B93B">
      <w:pPr>
        <w:rPr>
          <w:rFonts w:hint="eastAsia"/>
          <w:lang w:val="en-US" w:eastAsia="zh-CN"/>
        </w:rPr>
      </w:pPr>
    </w:p>
    <w:p w14:paraId="3523A756">
      <w:pPr>
        <w:pStyle w:val="10"/>
        <w:tabs>
          <w:tab w:val="right" w:leader="dot" w:pos="5669"/>
        </w:tabs>
        <w:jc w:val="center"/>
        <w:rPr>
          <w:rFonts w:hint="eastAsia" w:ascii="Times New Roman" w:hAnsi="Times New Roman" w:eastAsia="方正小标宋_GBK" w:cs="Times New Roman"/>
          <w:bCs/>
          <w:spacing w:val="0"/>
          <w:kern w:val="44"/>
          <w:sz w:val="52"/>
          <w:szCs w:val="52"/>
          <w:lang w:val="en-US" w:eastAsia="zh-CN"/>
        </w:rPr>
      </w:pPr>
    </w:p>
    <w:p w14:paraId="5C703AD4">
      <w:pPr>
        <w:pStyle w:val="10"/>
        <w:tabs>
          <w:tab w:val="right" w:leader="dot" w:pos="5669"/>
        </w:tabs>
        <w:jc w:val="center"/>
        <w:rPr>
          <w:rFonts w:hint="eastAsia" w:ascii="Times New Roman" w:hAnsi="Times New Roman" w:eastAsia="方正小标宋_GBK" w:cs="Times New Roman"/>
          <w:bCs/>
          <w:spacing w:val="0"/>
          <w:kern w:val="44"/>
          <w:sz w:val="52"/>
          <w:szCs w:val="52"/>
          <w:lang w:val="en-US" w:eastAsia="zh-CN"/>
        </w:rPr>
      </w:pPr>
    </w:p>
    <w:p w14:paraId="7E180B26">
      <w:pPr>
        <w:pStyle w:val="10"/>
        <w:tabs>
          <w:tab w:val="right" w:leader="dot" w:pos="5669"/>
        </w:tabs>
        <w:jc w:val="center"/>
        <w:rPr>
          <w:rFonts w:hint="eastAsia" w:ascii="Times New Roman" w:hAnsi="Times New Roman" w:eastAsia="方正小标宋_GBK" w:cs="Times New Roman"/>
          <w:bCs/>
          <w:spacing w:val="0"/>
          <w:kern w:val="44"/>
          <w:sz w:val="52"/>
          <w:szCs w:val="52"/>
          <w:lang w:val="en-US" w:eastAsia="zh-CN"/>
        </w:rPr>
      </w:pPr>
    </w:p>
    <w:p w14:paraId="644C426E">
      <w:pPr>
        <w:pStyle w:val="2"/>
        <w:spacing w:line="240" w:lineRule="auto"/>
        <w:jc w:val="center"/>
        <w:rPr>
          <w:rFonts w:hint="default" w:ascii="Times New Roman" w:hAnsi="Times New Roman" w:eastAsia="方正小标宋_GBK" w:cs="Times New Roman"/>
          <w:bCs/>
          <w:spacing w:val="0"/>
          <w:kern w:val="44"/>
          <w:sz w:val="52"/>
          <w:szCs w:val="52"/>
        </w:rPr>
      </w:pPr>
      <w:bookmarkStart w:id="1" w:name="_Toc15559"/>
      <w:bookmarkStart w:id="2" w:name="_Toc3298"/>
      <w:bookmarkStart w:id="3" w:name="_Toc27067"/>
      <w:bookmarkStart w:id="4" w:name="_Toc19669"/>
      <w:r>
        <w:rPr>
          <w:rFonts w:hint="default" w:ascii="Times New Roman" w:hAnsi="Times New Roman" w:eastAsia="方正小标宋_GBK" w:cs="Times New Roman"/>
          <w:bCs/>
          <w:spacing w:val="0"/>
          <w:kern w:val="44"/>
          <w:sz w:val="52"/>
          <w:szCs w:val="52"/>
          <w:lang w:val="en-US" w:eastAsia="zh-CN"/>
        </w:rPr>
        <w:t xml:space="preserve">第四部分 </w:t>
      </w:r>
      <w:r>
        <w:rPr>
          <w:rFonts w:hint="default" w:ascii="Times New Roman" w:hAnsi="Times New Roman" w:eastAsia="方正小标宋_GBK" w:cs="Times New Roman"/>
          <w:bCs/>
          <w:spacing w:val="0"/>
          <w:kern w:val="44"/>
          <w:sz w:val="52"/>
          <w:szCs w:val="52"/>
        </w:rPr>
        <w:fldChar w:fldCharType="begin"/>
      </w:r>
      <w:r>
        <w:rPr>
          <w:rFonts w:hint="default" w:ascii="Times New Roman" w:hAnsi="Times New Roman" w:eastAsia="方正小标宋_GBK" w:cs="Times New Roman"/>
          <w:bCs/>
          <w:spacing w:val="0"/>
          <w:kern w:val="44"/>
          <w:sz w:val="52"/>
          <w:szCs w:val="52"/>
        </w:rPr>
        <w:instrText xml:space="preserve"> HYPERLINK \l _Toc23543 </w:instrText>
      </w:r>
      <w:r>
        <w:rPr>
          <w:rFonts w:hint="default" w:ascii="Times New Roman" w:hAnsi="Times New Roman" w:eastAsia="方正小标宋_GBK" w:cs="Times New Roman"/>
          <w:bCs/>
          <w:spacing w:val="0"/>
          <w:kern w:val="44"/>
          <w:sz w:val="52"/>
          <w:szCs w:val="52"/>
        </w:rPr>
        <w:fldChar w:fldCharType="separate"/>
      </w:r>
      <w:r>
        <w:rPr>
          <w:rFonts w:hint="default" w:ascii="Times New Roman" w:hAnsi="Times New Roman" w:eastAsia="方正小标宋_GBK" w:cs="Times New Roman"/>
          <w:bCs/>
          <w:spacing w:val="0"/>
          <w:kern w:val="44"/>
          <w:sz w:val="52"/>
          <w:szCs w:val="52"/>
          <w:lang w:eastAsia="zh-CN"/>
        </w:rPr>
        <w:t>学生奖助工作</w:t>
      </w:r>
      <w:r>
        <w:rPr>
          <w:rFonts w:hint="default" w:ascii="Times New Roman" w:hAnsi="Times New Roman" w:eastAsia="方正小标宋_GBK" w:cs="Times New Roman"/>
          <w:bCs/>
          <w:spacing w:val="0"/>
          <w:kern w:val="44"/>
          <w:sz w:val="52"/>
          <w:szCs w:val="52"/>
        </w:rPr>
        <w:fldChar w:fldCharType="end"/>
      </w:r>
      <w:bookmarkEnd w:id="1"/>
      <w:bookmarkEnd w:id="2"/>
      <w:bookmarkEnd w:id="3"/>
      <w:bookmarkEnd w:id="4"/>
    </w:p>
    <w:p w14:paraId="58273AEF">
      <w:pPr>
        <w:pStyle w:val="2"/>
        <w:spacing w:line="240" w:lineRule="auto"/>
        <w:rPr>
          <w:rFonts w:hint="eastAsia"/>
          <w:color w:val="auto"/>
          <w:sz w:val="52"/>
          <w:szCs w:val="52"/>
        </w:rPr>
        <w:sectPr>
          <w:headerReference r:id="rId3" w:type="default"/>
          <w:footerReference r:id="rId4" w:type="default"/>
          <w:pgSz w:w="7937" w:h="11905"/>
          <w:pgMar w:top="1417" w:right="1134" w:bottom="1304" w:left="1134" w:header="850" w:footer="992" w:gutter="0"/>
          <w:pgNumType w:fmt="decimal"/>
          <w:cols w:space="0" w:num="1"/>
          <w:rtlGutter w:val="0"/>
          <w:docGrid w:type="lines" w:linePitch="340" w:charSpace="0"/>
        </w:sectPr>
      </w:pPr>
    </w:p>
    <w:p w14:paraId="1CF6BFF0">
      <w:pPr>
        <w:pStyle w:val="2"/>
        <w:rPr>
          <w:rFonts w:hint="eastAsia"/>
        </w:rPr>
      </w:pPr>
      <w:bookmarkStart w:id="5" w:name="_Toc12536"/>
      <w:bookmarkStart w:id="6" w:name="_Toc24467"/>
      <w:bookmarkStart w:id="7" w:name="_Toc18668"/>
      <w:bookmarkStart w:id="8" w:name="_Toc27094"/>
      <w:bookmarkStart w:id="9" w:name="_Toc29355"/>
      <w:bookmarkStart w:id="10" w:name="_Toc8967"/>
      <w:bookmarkStart w:id="11" w:name="_Toc12553"/>
      <w:r>
        <w:rPr>
          <w:rFonts w:hint="eastAsia"/>
        </w:rPr>
        <w:t>安徽电气工程职业技术学院家庭经济困难学生认定办法（修订）</w:t>
      </w:r>
      <w:bookmarkEnd w:id="0"/>
      <w:bookmarkEnd w:id="5"/>
      <w:bookmarkEnd w:id="6"/>
      <w:bookmarkEnd w:id="7"/>
      <w:bookmarkEnd w:id="8"/>
      <w:bookmarkEnd w:id="9"/>
      <w:bookmarkEnd w:id="10"/>
      <w:bookmarkEnd w:id="11"/>
    </w:p>
    <w:p w14:paraId="5B2315F8">
      <w:pPr>
        <w:pStyle w:val="2"/>
        <w:outlineLvl w:val="9"/>
        <w:rPr>
          <w:rFonts w:hint="eastAsia"/>
          <w:color w:val="auto"/>
        </w:rPr>
      </w:pPr>
    </w:p>
    <w:p w14:paraId="2EB9B845">
      <w:pPr>
        <w:pStyle w:val="3"/>
        <w:rPr>
          <w:rFonts w:hint="eastAsia"/>
          <w:lang w:val="en-US" w:eastAsia="zh-CN"/>
        </w:rPr>
      </w:pPr>
      <w:bookmarkStart w:id="12" w:name="_Toc17111"/>
      <w:bookmarkStart w:id="13" w:name="_Toc4594"/>
      <w:r>
        <w:rPr>
          <w:rFonts w:hint="eastAsia"/>
          <w:lang w:val="en-US" w:eastAsia="zh-CN"/>
        </w:rPr>
        <w:t>第一章  总  则</w:t>
      </w:r>
      <w:bookmarkEnd w:id="12"/>
      <w:bookmarkEnd w:id="13"/>
    </w:p>
    <w:p w14:paraId="02DCB49F">
      <w:pPr>
        <w:pStyle w:val="2"/>
        <w:keepNext/>
        <w:keepLines/>
        <w:pageBreakBefore w:val="0"/>
        <w:widowControl w:val="0"/>
        <w:kinsoku/>
        <w:wordWrap/>
        <w:overflowPunct/>
        <w:topLinePunct w:val="0"/>
        <w:autoSpaceDE/>
        <w:autoSpaceDN/>
        <w:bidi w:val="0"/>
        <w:adjustRightInd/>
        <w:snapToGrid/>
        <w:ind w:firstLine="420" w:firstLineChars="200"/>
        <w:jc w:val="both"/>
        <w:textAlignment w:val="auto"/>
        <w:outlineLvl w:val="9"/>
        <w:rPr>
          <w:rFonts w:hint="eastAsia" w:ascii="方正书宋简体" w:hAnsi="方正书宋简体" w:eastAsia="方正书宋简体" w:cs="方正书宋简体"/>
          <w:bCs w:val="0"/>
          <w:color w:val="auto"/>
          <w:kern w:val="2"/>
          <w:sz w:val="21"/>
          <w:szCs w:val="21"/>
          <w:lang w:val="en-US" w:eastAsia="zh-CN" w:bidi="ar-SA"/>
        </w:rPr>
      </w:pPr>
    </w:p>
    <w:p w14:paraId="7CDFFFAD">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第一条</w:t>
      </w:r>
      <w:r>
        <w:rPr>
          <w:rFonts w:hint="eastAsia" w:ascii="方正书宋简体" w:hAnsi="方正书宋简体" w:eastAsia="方正书宋简体" w:cs="方正书宋简体"/>
          <w:lang w:val="en-US" w:eastAsia="zh-CN"/>
        </w:rPr>
        <w:t xml:space="preserve">  为认真做好学院家庭经济困难学生认定工作，合理分配资助资源，切实保证国家、省内制定的各项高等学院资助政策和惠民措施真正落实到家庭经济困难学生身上，依据教育部等六部门教育部等六部门《关于做好家庭经济困难学生认定工作的指导意见》（教财〔2018〕16号）和安徽省教育厅等六部门关于印发《安徽省家庭经济困难学生认定工作实施办法》的通知（皖教〔2019〕2号）文件精神）结合我院实际，制定本办法。</w:t>
      </w:r>
    </w:p>
    <w:p w14:paraId="0AB7B2B9">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 xml:space="preserve">第二条 </w:t>
      </w:r>
      <w:r>
        <w:rPr>
          <w:rFonts w:hint="eastAsia" w:ascii="方正书宋简体" w:hAnsi="方正书宋简体" w:eastAsia="方正书宋简体" w:cs="方正书宋简体"/>
          <w:lang w:val="en-US" w:eastAsia="zh-CN"/>
        </w:rPr>
        <w:t xml:space="preserve"> 本办法适用于具有安徽电气工程职业技术学院（以下简称“学院”）学籍的全日制在校学生。</w:t>
      </w:r>
    </w:p>
    <w:p w14:paraId="0D1AC57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第三条</w:t>
      </w:r>
      <w:r>
        <w:rPr>
          <w:rFonts w:hint="eastAsia" w:ascii="方正书宋简体" w:hAnsi="方正书宋简体" w:eastAsia="方正书宋简体" w:cs="方正书宋简体"/>
          <w:lang w:val="en-US" w:eastAsia="zh-CN"/>
        </w:rPr>
        <w:t xml:space="preserve">  本办法所称家庭经济困难学生认定工作的对象是指本人及其家庭的经济能力难以满足在校期间的学习、生活基本支出的学生。</w:t>
      </w:r>
    </w:p>
    <w:p w14:paraId="6AD5804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第四条</w:t>
      </w:r>
      <w:r>
        <w:rPr>
          <w:rFonts w:hint="eastAsia" w:ascii="方正书宋简体" w:hAnsi="方正书宋简体" w:eastAsia="方正书宋简体" w:cs="方正书宋简体"/>
          <w:lang w:val="en-US" w:eastAsia="zh-CN"/>
        </w:rPr>
        <w:t xml:space="preserve">  家庭经济困难学生认定工作基本原则</w:t>
      </w:r>
    </w:p>
    <w:p w14:paraId="79E022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（一）坚持实事求是、客观公平。认定家庭经济困难学生要从客观实际出发，以学生家庭经济状况为主要认定依据，认定标准和尺度要统一，确保公平公正。</w:t>
      </w:r>
    </w:p>
    <w:p w14:paraId="587C879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（二）坚持定量评价与定性评价相结合。既要建立科学的量化指标体系，进行定量评价，也要通过定性分析修正量化结果，更加准确、全面地了解学生的实际情况。</w:t>
      </w:r>
    </w:p>
    <w:p w14:paraId="45E1D7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（三）坚持公开透明与保护隐私相结合。既要做到认定内容、程序、方法等透明，确保认定公正，也要尊重和保护学生隐私，严禁让学生当众诉苦、互相比困。</w:t>
      </w:r>
    </w:p>
    <w:p w14:paraId="622BC88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（四）坚持积极引导与自愿申请相结合。既要引导学生如实反映家庭经济困难情况，主动利用国家资助完成学业，也要充分尊重学生个人意愿，遵循自愿申请的原则。</w:t>
      </w:r>
    </w:p>
    <w:p w14:paraId="03ED292B">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第五条</w:t>
      </w:r>
      <w:r>
        <w:rPr>
          <w:rFonts w:hint="eastAsia" w:ascii="方正书宋简体" w:hAnsi="方正书宋简体" w:eastAsia="方正书宋简体" w:cs="方正书宋简体"/>
          <w:lang w:val="en-US" w:eastAsia="zh-CN"/>
        </w:rPr>
        <w:t xml:space="preserve">  认定结果作为评定国家励志奖学金、国家助学金和其他资助项目的重要依据。</w:t>
      </w:r>
    </w:p>
    <w:p w14:paraId="0738AE5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p>
    <w:p w14:paraId="59C70A44">
      <w:pPr>
        <w:pStyle w:val="3"/>
        <w:rPr>
          <w:rFonts w:hint="eastAsia"/>
          <w:lang w:val="en-US" w:eastAsia="zh-CN"/>
        </w:rPr>
      </w:pPr>
      <w:bookmarkStart w:id="14" w:name="_Toc2233"/>
      <w:bookmarkStart w:id="15" w:name="_Toc27378"/>
      <w:r>
        <w:rPr>
          <w:rFonts w:hint="eastAsia"/>
          <w:lang w:val="en-US" w:eastAsia="zh-CN"/>
        </w:rPr>
        <w:t>第二章  认定工作的组织管理</w:t>
      </w:r>
      <w:bookmarkEnd w:id="14"/>
      <w:bookmarkEnd w:id="15"/>
    </w:p>
    <w:p w14:paraId="4A1A1E1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p>
    <w:p w14:paraId="41FE3756">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第六条</w:t>
      </w:r>
      <w:r>
        <w:rPr>
          <w:rFonts w:hint="eastAsia" w:ascii="方正书宋简体" w:hAnsi="方正书宋简体" w:eastAsia="方正书宋简体" w:cs="方正书宋简体"/>
          <w:lang w:val="en-US" w:eastAsia="zh-CN"/>
        </w:rPr>
        <w:t xml:space="preserve">  学院家庭经济困难学生认定工作实行四级资助认定工作机制：</w:t>
      </w:r>
    </w:p>
    <w:p w14:paraId="7D6D515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（一）学院成立由学院领导组成的学生资助工作领导小组，负责领导、监督家庭经济困难学生认定工作。</w:t>
      </w:r>
    </w:p>
    <w:p w14:paraId="59A5DEC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（二）学院成立“学生资助管理中心”（以下简称“资助中心”），由学院分管院长任主任，学生处处长及学院相关部门负责人参加，负责组织、审核和管理全院的认定工作。</w:t>
      </w:r>
    </w:p>
    <w:p w14:paraId="415943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（三）学院所属系部成立以分管学生工作的主任为组长、学工干事和辅导员等成员参加的认定工作组，负责组织、审核本系的认定工作。</w:t>
      </w:r>
    </w:p>
    <w:p w14:paraId="5E3223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四）学院成立以班级为单位、辅导员为组长、任课教师和学生代表参加的班级认定评议小组，负责班级家庭经济困难学生认定的民主评议工作。认定评议小组成员中，学生代表人数一般不少于学生总人数的10%，具备广泛的代表性。认定评议小组成立后，其成员名单须在班级进行公示。</w:t>
      </w:r>
    </w:p>
    <w:p w14:paraId="722A6FF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第七条</w:t>
      </w:r>
      <w:r>
        <w:rPr>
          <w:rFonts w:hint="eastAsia" w:ascii="方正书宋简体" w:hAnsi="方正书宋简体" w:eastAsia="方正书宋简体" w:cs="方正书宋简体"/>
          <w:lang w:val="en-US" w:eastAsia="zh-CN"/>
        </w:rPr>
        <w:t xml:space="preserve">  学院资助工作领导小组、纪检监察、财务部门要加强对学院家庭经济困难学生认定工作的监督。</w:t>
      </w:r>
    </w:p>
    <w:p w14:paraId="7F36673A">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第八条</w:t>
      </w:r>
      <w:r>
        <w:rPr>
          <w:rFonts w:hint="eastAsia" w:ascii="方正书宋简体" w:hAnsi="方正书宋简体" w:eastAsia="方正书宋简体" w:cs="方正书宋简体"/>
          <w:lang w:val="en-US" w:eastAsia="zh-CN"/>
        </w:rPr>
        <w:t xml:space="preserve">  资助中心对家庭经济困难学生进行资格复查，并随机抽选一定比例的家庭经济困难学生，通过信件、电话、实地走访等方式进行核实。如有弄虚作假现象，一经核实，取消资助资格，收回资助资金。情节严重的，学院将依据有关规定严肃处理。</w:t>
      </w:r>
    </w:p>
    <w:p w14:paraId="2D0EB8B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第九条</w:t>
      </w:r>
      <w:r>
        <w:rPr>
          <w:rFonts w:hint="eastAsia" w:ascii="方正书宋简体" w:hAnsi="方正书宋简体" w:eastAsia="方正书宋简体" w:cs="方正书宋简体"/>
          <w:lang w:val="en-US" w:eastAsia="zh-CN"/>
        </w:rPr>
        <w:t xml:space="preserve">  加强学生的诚信教育，教育引导学生如实反映家庭经济困难情况，既不应隐而不报、更不能夸大虚报，并及时报告本人的家庭经济变化情况，学院根据学生家庭经济变化情况，及时做出调整。</w:t>
      </w:r>
    </w:p>
    <w:p w14:paraId="12A9E10E">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第十条</w:t>
      </w:r>
      <w:r>
        <w:rPr>
          <w:rFonts w:hint="eastAsia" w:ascii="方正书宋简体" w:hAnsi="方正书宋简体" w:eastAsia="方正书宋简体" w:cs="方正书宋简体"/>
          <w:lang w:val="en-US" w:eastAsia="zh-CN"/>
        </w:rPr>
        <w:t xml:space="preserve">  学院将家庭经济困难学生资助工作纳入年度工作计划，整体安排学院的家庭经济困难学生资助工作。学院系部学工人员及资助中心随时关注学生家庭经济情况的变动情况，及时掌握学生在校期间因突发性事件等原因导致家庭经济困难的新情况。</w:t>
      </w:r>
    </w:p>
    <w:p w14:paraId="41ABA66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第十一条</w:t>
      </w:r>
      <w:r>
        <w:rPr>
          <w:rFonts w:hint="eastAsia" w:ascii="方正书宋简体" w:hAnsi="方正书宋简体" w:eastAsia="方正书宋简体" w:cs="方正书宋简体"/>
          <w:lang w:val="en-US" w:eastAsia="zh-CN"/>
        </w:rPr>
        <w:t xml:space="preserve">  各系部学工人员及资助中心要将资助工作与学生思想政治教育相结合，在关注家庭经济困难学生生活的同时，更要关注他们的成长，要掌握和了解他们的思想和心理状况，教育学生直面困难，树立正确的世界观、人生观和价值观，真正发挥资助工作的育人作用。</w:t>
      </w:r>
    </w:p>
    <w:p w14:paraId="3F79B5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p>
    <w:p w14:paraId="67DA48A1">
      <w:pPr>
        <w:pStyle w:val="3"/>
        <w:rPr>
          <w:rFonts w:hint="eastAsia"/>
          <w:lang w:val="en-US" w:eastAsia="zh-CN"/>
        </w:rPr>
      </w:pPr>
      <w:bookmarkStart w:id="16" w:name="_Toc3688"/>
      <w:bookmarkStart w:id="17" w:name="_Toc16380"/>
      <w:r>
        <w:rPr>
          <w:rFonts w:hint="eastAsia"/>
          <w:lang w:val="en-US" w:eastAsia="zh-CN"/>
        </w:rPr>
        <w:t>第三章  困难等级、认定标准</w:t>
      </w:r>
      <w:bookmarkEnd w:id="16"/>
      <w:bookmarkEnd w:id="17"/>
    </w:p>
    <w:p w14:paraId="370938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p>
    <w:p w14:paraId="580B29E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第十二条</w:t>
      </w:r>
      <w:r>
        <w:rPr>
          <w:rFonts w:hint="eastAsia" w:ascii="方正书宋简体" w:hAnsi="方正书宋简体" w:eastAsia="方正书宋简体" w:cs="方正书宋简体"/>
          <w:lang w:val="en-US" w:eastAsia="zh-CN"/>
        </w:rPr>
        <w:t xml:space="preserve">  家庭经济困难学生的认定分为特别困难、困难和一般困难三个等级。</w:t>
      </w:r>
    </w:p>
    <w:p w14:paraId="0657AE39">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第十三条</w:t>
      </w:r>
      <w:r>
        <w:rPr>
          <w:rFonts w:hint="eastAsia" w:ascii="方正书宋简体" w:hAnsi="方正书宋简体" w:eastAsia="方正书宋简体" w:cs="方正书宋简体"/>
          <w:lang w:val="en-US" w:eastAsia="zh-CN"/>
        </w:rPr>
        <w:t xml:space="preserve">  特别困难、困难的认定条件应从严掌握。</w:t>
      </w:r>
    </w:p>
    <w:p w14:paraId="2358C9AB">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第十四条</w:t>
      </w:r>
      <w:r>
        <w:rPr>
          <w:rFonts w:hint="eastAsia" w:ascii="方正书宋简体" w:hAnsi="方正书宋简体" w:eastAsia="方正书宋简体" w:cs="方正书宋简体"/>
          <w:lang w:val="en-US" w:eastAsia="zh-CN"/>
        </w:rPr>
        <w:t xml:space="preserve">  家庭经济困难学生认定依据：</w:t>
      </w:r>
    </w:p>
    <w:p w14:paraId="2208FA6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（一）家庭经济因素。主要包括家庭收入、财产、债务等情况。</w:t>
      </w:r>
    </w:p>
    <w:p w14:paraId="0D09DAC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（二）特殊群体因素。主要指是否属于建档立卡贫困户家庭学生、最低生活保障家庭学生、特困供养学生、孤残学生、烈士子女、家庭经济困难残疾学生及残疾人子女等情况。</w:t>
      </w:r>
    </w:p>
    <w:p w14:paraId="548C52A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（三）地区经济社会发展水平因素。主要指校园地、生源地经济发展水平、城乡居民最低生活保障标准，学校收费标准等情况。</w:t>
      </w:r>
    </w:p>
    <w:p w14:paraId="0C47859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（四）突发状况因素。主要指遭受重大自然灾害、重大突发意外事件等情况。</w:t>
      </w:r>
    </w:p>
    <w:p w14:paraId="7A9C614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（五）学生消费因素。主要指学生消费的金额、结构等是否合理。</w:t>
      </w:r>
    </w:p>
    <w:p w14:paraId="53498CE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（六）其他影响家庭经济状况的有关因素。主要包括家庭负担、劳动力及职业状况等。</w:t>
      </w:r>
    </w:p>
    <w:p w14:paraId="65273B84">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第十五条</w:t>
      </w:r>
      <w:r>
        <w:rPr>
          <w:rFonts w:hint="eastAsia" w:ascii="方正书宋简体" w:hAnsi="方正书宋简体" w:eastAsia="方正书宋简体" w:cs="方正书宋简体"/>
          <w:lang w:val="en-US" w:eastAsia="zh-CN"/>
        </w:rPr>
        <w:t xml:space="preserve">  困难等级确定：</w:t>
      </w:r>
    </w:p>
    <w:p w14:paraId="107CFDC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根据学生家庭经济困难情况，经班级评议，系部初审汇总，资助中心审核公示无异议后，报院资助工作领导小组同意，将家庭经济困难学生按困难程度确定为特别困难、困难和一般困难三个等级。</w:t>
      </w:r>
    </w:p>
    <w:p w14:paraId="366ED2C9">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第十六条</w:t>
      </w:r>
      <w:r>
        <w:rPr>
          <w:rFonts w:hint="eastAsia" w:ascii="方正书宋简体" w:hAnsi="方正书宋简体" w:eastAsia="方正书宋简体" w:cs="方正书宋简体"/>
          <w:lang w:val="en-US" w:eastAsia="zh-CN"/>
        </w:rPr>
        <w:t xml:space="preserve">  有下列情况之一的，不得认定为家庭经济困难学生。</w:t>
      </w:r>
    </w:p>
    <w:p w14:paraId="6C52182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（一）学生休学期间。</w:t>
      </w:r>
    </w:p>
    <w:p w14:paraId="6ADBDE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（二）申请认定时材料弄虚作假的。</w:t>
      </w:r>
    </w:p>
    <w:p w14:paraId="72598031">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第十七条</w:t>
      </w:r>
      <w:r>
        <w:rPr>
          <w:rFonts w:hint="eastAsia" w:ascii="方正书宋简体" w:hAnsi="方正书宋简体" w:eastAsia="方正书宋简体" w:cs="方正书宋简体"/>
          <w:lang w:val="en-US" w:eastAsia="zh-CN"/>
        </w:rPr>
        <w:t xml:space="preserve">  学生在校实际生活费用是指学生家庭所能提供的经济支持，国家、社会和学院所提供的各类资助不包括在内。</w:t>
      </w:r>
    </w:p>
    <w:p w14:paraId="7D76A22A">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第十八条</w:t>
      </w:r>
      <w:r>
        <w:rPr>
          <w:rFonts w:hint="eastAsia" w:ascii="方正书宋简体" w:hAnsi="方正书宋简体" w:eastAsia="方正书宋简体" w:cs="方正书宋简体"/>
          <w:lang w:val="en-US" w:eastAsia="zh-CN"/>
        </w:rPr>
        <w:t xml:space="preserve">  学生的家庭成员是指与学生共同生活的直系亲属。</w:t>
      </w:r>
    </w:p>
    <w:p w14:paraId="0C4644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p>
    <w:p w14:paraId="09187DC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p>
    <w:p w14:paraId="7AA52A59">
      <w:pPr>
        <w:pStyle w:val="3"/>
        <w:rPr>
          <w:rFonts w:hint="eastAsia"/>
          <w:lang w:val="en-US" w:eastAsia="zh-CN"/>
        </w:rPr>
      </w:pPr>
      <w:bookmarkStart w:id="18" w:name="_Toc28823"/>
      <w:bookmarkStart w:id="19" w:name="_Toc30864"/>
      <w:r>
        <w:rPr>
          <w:rFonts w:hint="eastAsia"/>
          <w:lang w:val="en-US" w:eastAsia="zh-CN"/>
        </w:rPr>
        <w:t>第四章  认定程序</w:t>
      </w:r>
      <w:bookmarkEnd w:id="18"/>
      <w:bookmarkEnd w:id="19"/>
    </w:p>
    <w:p w14:paraId="2B50BB3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p>
    <w:p w14:paraId="0E8ED5DD">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第十九条</w:t>
      </w:r>
      <w:r>
        <w:rPr>
          <w:rFonts w:hint="eastAsia" w:ascii="方正书宋简体" w:hAnsi="方正书宋简体" w:eastAsia="方正书宋简体" w:cs="方正书宋简体"/>
          <w:lang w:val="en-US" w:eastAsia="zh-CN"/>
        </w:rPr>
        <w:t xml:space="preserve">  家庭经济困难学生认定工作每学年进行一次。院资助工作领导小组、资助中心、认定工作组和认定工作评议小组，按照各自的职能分工，认真、负责地共同完成认定工作。</w:t>
      </w:r>
    </w:p>
    <w:p w14:paraId="77D0CB82">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第二十条</w:t>
      </w:r>
      <w:r>
        <w:rPr>
          <w:rFonts w:hint="eastAsia" w:ascii="方正书宋简体" w:hAnsi="方正书宋简体" w:eastAsia="方正书宋简体" w:cs="方正书宋简体"/>
          <w:lang w:val="en-US" w:eastAsia="zh-CN"/>
        </w:rPr>
        <w:t xml:space="preserve">  学校通过多种途径和方式，提前向学生或监护人告知家庭经济困难学生认定工作事项，发放《安徽省家庭经济困难学生认定申请表》，同时学院在向新生寄送录取通知书时，一并寄送《高校资助政策简介》和《安徽省家庭经济困难学生认定申请表》。</w:t>
      </w:r>
    </w:p>
    <w:p w14:paraId="369D44F8">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第二十一条</w:t>
      </w:r>
      <w:r>
        <w:rPr>
          <w:rFonts w:hint="eastAsia" w:ascii="方正书宋简体" w:hAnsi="方正书宋简体" w:eastAsia="方正书宋简体" w:cs="方正书宋简体"/>
          <w:lang w:val="en-US" w:eastAsia="zh-CN"/>
        </w:rPr>
        <w:t xml:space="preserve">  每学年开学时，资助中心布置启动全院认定工作。学生自愿申请，填写《安徽省家庭经济困难学生认定申请表》，认定工作评议小组根据《学院家庭经济困难学生认定工作量化评分表》进行打分、排序。</w:t>
      </w:r>
    </w:p>
    <w:p w14:paraId="3B2EAF1D">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第二十二条</w:t>
      </w:r>
      <w:r>
        <w:rPr>
          <w:rFonts w:hint="eastAsia" w:ascii="方正书宋简体" w:hAnsi="方正书宋简体" w:eastAsia="方正书宋简体" w:cs="方正书宋简体"/>
          <w:lang w:val="en-US" w:eastAsia="zh-CN"/>
        </w:rPr>
        <w:t xml:space="preserve">  各系部认定工作组根据学生提交的《高等学校家庭经济困难学生认定申请表》和《家庭经济困难学生认定工作量化评分表》等相关材料，结合学生家庭经济状况，并结合学生日常消费行为，以及影响其家庭经济状况的有关情况，认真进行评议，提出本系家庭经济困难学生认定及困难等级意见。</w:t>
      </w:r>
    </w:p>
    <w:p w14:paraId="70FCB69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认定工作组进行民主评议时应着重考虑孤儿、单亲、农村/城镇低保家庭学生、残疾学生或来自于残疾人家庭、农村特困救助供养学生、烈士子女、建档立卡家庭经济困难学生以及家庭遭受自然灾害或突发事件等特殊情况的学生。</w:t>
      </w:r>
    </w:p>
    <w:p w14:paraId="0048070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评定学生家庭经济状况时，不能让学生当众诉苦、互相比困，应采用隐性的方式，避免将困难学生和非困难学生割裂区分开。</w:t>
      </w:r>
    </w:p>
    <w:p w14:paraId="28EF2D7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公示家庭经济困难学生受助情况，不能涉及学生个人及家庭隐私。宣传学生励志典型等事迹时，如涉及到受助学生的个人信息，应征得学生本人同意。</w:t>
      </w:r>
    </w:p>
    <w:p w14:paraId="24AB4BE8">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第二十三条</w:t>
      </w:r>
      <w:r>
        <w:rPr>
          <w:rFonts w:hint="eastAsia" w:ascii="方正书宋简体" w:hAnsi="方正书宋简体" w:eastAsia="方正书宋简体" w:cs="方正书宋简体"/>
          <w:lang w:val="en-US" w:eastAsia="zh-CN"/>
        </w:rPr>
        <w:t xml:space="preserve">  认定工作组审核通过后，将家庭经济困难学生名单及困难等级，在适当范围内、以适当方式公示5个工作日。公示家庭经济困难学生信息时，不能涉及学生个人及家庭的隐私。如师生有异议，可通过有效方式向认定工作组提出质疑。认定工作组应在接到异议材料的3个工作日内予以答复；如对认定工作组的答复仍有异议，可通过有效方式向资助中心提请复议，资助中心在接到复议提请的5个工作日内予以答复。如情况属实，应做出调整。</w:t>
      </w:r>
    </w:p>
    <w:p w14:paraId="33B2235B">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第二十四条</w:t>
      </w:r>
      <w:r>
        <w:rPr>
          <w:rFonts w:hint="eastAsia" w:ascii="方正书宋简体" w:hAnsi="方正书宋简体" w:eastAsia="方正书宋简体" w:cs="方正书宋简体"/>
          <w:lang w:val="en-US" w:eastAsia="zh-CN"/>
        </w:rPr>
        <w:t xml:space="preserve">  资助中心审核各系上报的认定名单及等级，审核通过后，报学院学生资助工作领导小组审议，并将审议结果在适当范围内、以适当方式公示5个工作日，无异议后建立家庭经济困难学生信息档案。</w:t>
      </w:r>
    </w:p>
    <w:p w14:paraId="7E0DD1E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p>
    <w:p w14:paraId="55982A06">
      <w:pPr>
        <w:pStyle w:val="3"/>
        <w:rPr>
          <w:rFonts w:hint="eastAsia"/>
          <w:lang w:val="en-US" w:eastAsia="zh-CN"/>
        </w:rPr>
      </w:pPr>
      <w:bookmarkStart w:id="20" w:name="_Toc23722"/>
      <w:bookmarkStart w:id="21" w:name="_Toc10022"/>
      <w:r>
        <w:rPr>
          <w:rFonts w:hint="eastAsia"/>
          <w:lang w:val="en-US" w:eastAsia="zh-CN"/>
        </w:rPr>
        <w:t>第五章 附 则</w:t>
      </w:r>
      <w:bookmarkEnd w:id="20"/>
      <w:bookmarkEnd w:id="21"/>
    </w:p>
    <w:p w14:paraId="10F3974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p>
    <w:p w14:paraId="4ED08786">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第二十五条</w:t>
      </w:r>
      <w:r>
        <w:rPr>
          <w:rFonts w:hint="eastAsia" w:ascii="方正书宋简体" w:hAnsi="方正书宋简体" w:eastAsia="方正书宋简体" w:cs="方正书宋简体"/>
          <w:lang w:val="en-US" w:eastAsia="zh-CN"/>
        </w:rPr>
        <w:t xml:space="preserve">  本办法自发布之日起实施，原相关制度同时废止。</w:t>
      </w:r>
    </w:p>
    <w:p w14:paraId="73F74A07">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outlineLvl w:val="9"/>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b/>
          <w:bCs/>
          <w:lang w:val="en-US" w:eastAsia="zh-CN"/>
        </w:rPr>
        <w:t>第二十六条</w:t>
      </w:r>
      <w:r>
        <w:rPr>
          <w:rFonts w:hint="eastAsia" w:ascii="方正书宋简体" w:hAnsi="方正书宋简体" w:eastAsia="方正书宋简体" w:cs="方正书宋简体"/>
          <w:lang w:val="en-US" w:eastAsia="zh-CN"/>
        </w:rPr>
        <w:t xml:space="preserve">  本办法解释权在学生资助管理中心。</w:t>
      </w:r>
    </w:p>
    <w:p w14:paraId="794067C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方正书宋简体" w:hAnsi="方正书宋简体" w:eastAsia="方正书宋简体" w:cs="方正书宋简体"/>
          <w:lang w:val="en-US" w:eastAsia="zh-CN"/>
        </w:rPr>
      </w:pPr>
    </w:p>
    <w:p w14:paraId="073C700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0"/>
        <w:rPr>
          <w:rFonts w:hint="eastAsia" w:ascii="方正书宋简体" w:hAnsi="方正书宋简体" w:eastAsia="方正书宋简体" w:cs="方正书宋简体"/>
          <w:lang w:val="en-US" w:eastAsia="zh-CN"/>
        </w:rPr>
      </w:pPr>
      <w:r>
        <w:rPr>
          <w:rFonts w:hint="eastAsia" w:ascii="方正书宋简体" w:hAnsi="方正书宋简体" w:eastAsia="方正书宋简体" w:cs="方正书宋简体"/>
          <w:lang w:val="en-US" w:eastAsia="zh-CN"/>
        </w:rPr>
        <w:t xml:space="preserve">    </w:t>
      </w:r>
      <w:bookmarkStart w:id="22" w:name="_Toc10002"/>
      <w:bookmarkStart w:id="23" w:name="_Toc26243"/>
      <w:bookmarkStart w:id="24" w:name="_Toc15781"/>
      <w:bookmarkStart w:id="25" w:name="_Toc4066"/>
      <w:bookmarkStart w:id="26" w:name="_Toc20499"/>
      <w:bookmarkStart w:id="27" w:name="_Toc10266"/>
      <w:bookmarkStart w:id="28" w:name="_Toc5257"/>
      <w:r>
        <w:rPr>
          <w:rFonts w:hint="eastAsia" w:ascii="方正书宋简体" w:hAnsi="方正书宋简体" w:eastAsia="方正书宋简体" w:cs="方正书宋简体"/>
          <w:lang w:val="en-US" w:eastAsia="zh-CN"/>
        </w:rPr>
        <w:t>附件：1.安徽省家庭经济困难学生认定申请表</w:t>
      </w:r>
      <w:bookmarkEnd w:id="22"/>
      <w:bookmarkEnd w:id="23"/>
      <w:bookmarkEnd w:id="24"/>
      <w:bookmarkEnd w:id="25"/>
      <w:bookmarkEnd w:id="26"/>
      <w:bookmarkEnd w:id="27"/>
      <w:bookmarkEnd w:id="28"/>
    </w:p>
    <w:p w14:paraId="52B2E03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lang w:val="en-US" w:eastAsia="zh-CN"/>
        </w:rPr>
      </w:pPr>
      <w:r>
        <w:rPr>
          <w:rFonts w:hint="eastAsia" w:ascii="方正书宋简体" w:hAnsi="方正书宋简体" w:eastAsia="方正书宋简体" w:cs="方正书宋简体"/>
          <w:lang w:val="en-US" w:eastAsia="zh-CN"/>
        </w:rPr>
        <w:t xml:space="preserve">          2.学院家庭经济困难学生认定工作量化评分</w:t>
      </w:r>
    </w:p>
    <w:p w14:paraId="0D226768">
      <w:pPr>
        <w:pStyle w:val="2"/>
        <w:jc w:val="both"/>
        <w:outlineLvl w:val="9"/>
        <w:rPr>
          <w:rFonts w:hint="eastAsia" w:ascii="方正书宋简体" w:hAnsi="方正书宋简体" w:eastAsia="方正书宋简体" w:cs="方正书宋简体"/>
          <w:bCs w:val="0"/>
          <w:color w:val="auto"/>
          <w:kern w:val="2"/>
          <w:sz w:val="21"/>
          <w:szCs w:val="21"/>
          <w:lang w:val="en-US" w:eastAsia="zh-CN" w:bidi="ar-SA"/>
        </w:rPr>
      </w:pPr>
      <w:r>
        <w:rPr>
          <w:rFonts w:hint="eastAsia" w:ascii="方正书宋简体" w:hAnsi="方正书宋简体" w:eastAsia="方正书宋简体" w:cs="方正书宋简体"/>
          <w:bCs w:val="0"/>
          <w:color w:val="auto"/>
          <w:kern w:val="2"/>
          <w:sz w:val="21"/>
          <w:szCs w:val="21"/>
          <w:lang w:val="en-US" w:eastAsia="zh-CN" w:bidi="ar-SA"/>
        </w:rPr>
        <w:br w:type="page"/>
      </w:r>
    </w:p>
    <w:p w14:paraId="553A5AD8">
      <w:pPr>
        <w:keepNext w:val="0"/>
        <w:keepLines w:val="0"/>
        <w:pageBreakBefore w:val="0"/>
        <w:widowControl w:val="0"/>
        <w:kinsoku/>
        <w:wordWrap/>
        <w:overflowPunct/>
        <w:topLinePunct w:val="0"/>
        <w:autoSpaceDE/>
        <w:autoSpaceDN/>
        <w:bidi w:val="0"/>
        <w:adjustRightInd/>
        <w:snapToGrid/>
        <w:spacing w:line="0" w:lineRule="atLeast"/>
        <w:ind w:firstLine="0" w:firstLineChars="0"/>
        <w:textAlignment w:val="auto"/>
        <w:outlineLvl w:val="0"/>
        <w:rPr>
          <w:rFonts w:hint="eastAsia" w:ascii="方正书宋简体" w:hAnsi="方正书宋简体" w:eastAsia="方正书宋简体" w:cs="方正书宋简体"/>
          <w:b/>
          <w:bCs w:val="0"/>
          <w:color w:val="auto"/>
          <w:sz w:val="21"/>
          <w:szCs w:val="21"/>
          <w:lang w:val="en-US" w:eastAsia="zh-CN"/>
        </w:rPr>
      </w:pPr>
      <w:bookmarkStart w:id="29" w:name="_Toc68"/>
      <w:bookmarkStart w:id="30" w:name="_Toc19248"/>
      <w:bookmarkStart w:id="31" w:name="_Toc18408"/>
      <w:bookmarkStart w:id="32" w:name="_Toc2744"/>
      <w:bookmarkStart w:id="33" w:name="_Toc21284"/>
      <w:bookmarkStart w:id="34" w:name="_Toc7983"/>
      <w:bookmarkStart w:id="35" w:name="_Toc32263"/>
      <w:r>
        <w:rPr>
          <w:rFonts w:hint="eastAsia" w:ascii="方正书宋简体" w:hAnsi="方正书宋简体" w:eastAsia="方正书宋简体" w:cs="方正书宋简体"/>
          <w:b/>
          <w:bCs w:val="0"/>
          <w:color w:val="auto"/>
          <w:sz w:val="21"/>
          <w:szCs w:val="21"/>
        </w:rPr>
        <w:t>附件</w:t>
      </w:r>
      <w:r>
        <w:rPr>
          <w:rFonts w:hint="eastAsia" w:ascii="方正书宋简体" w:hAnsi="方正书宋简体" w:eastAsia="方正书宋简体" w:cs="方正书宋简体"/>
          <w:b/>
          <w:bCs w:val="0"/>
          <w:color w:val="auto"/>
          <w:sz w:val="21"/>
          <w:szCs w:val="21"/>
          <w:lang w:val="en-US" w:eastAsia="zh-CN"/>
        </w:rPr>
        <w:t>1：</w:t>
      </w:r>
      <w:bookmarkEnd w:id="29"/>
      <w:bookmarkEnd w:id="30"/>
      <w:bookmarkEnd w:id="31"/>
      <w:bookmarkEnd w:id="32"/>
      <w:bookmarkEnd w:id="33"/>
      <w:bookmarkEnd w:id="34"/>
      <w:bookmarkEnd w:id="35"/>
    </w:p>
    <w:p w14:paraId="4009B6FD">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outlineLvl w:val="9"/>
        <w:rPr>
          <w:rFonts w:hint="eastAsia" w:ascii="方正黑体_GBK" w:hAnsi="方正黑体_GBK" w:eastAsia="方正黑体_GBK" w:cs="方正黑体_GBK"/>
          <w:b w:val="0"/>
          <w:bCs w:val="0"/>
          <w:color w:val="auto"/>
          <w:sz w:val="28"/>
          <w:szCs w:val="28"/>
        </w:rPr>
      </w:pPr>
      <w:r>
        <w:rPr>
          <w:rFonts w:hint="eastAsia" w:ascii="方正黑体_GBK" w:hAnsi="方正黑体_GBK" w:eastAsia="方正黑体_GBK" w:cs="方正黑体_GBK"/>
          <w:b w:val="0"/>
          <w:bCs w:val="0"/>
          <w:color w:val="auto"/>
          <w:sz w:val="28"/>
          <w:szCs w:val="28"/>
        </w:rPr>
        <w:t>安徽省家庭经济困难学生认定申请表</w:t>
      </w:r>
    </w:p>
    <w:p w14:paraId="524DB8CB">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outlineLvl w:val="9"/>
        <w:rPr>
          <w:rFonts w:hint="eastAsia" w:ascii="新宋体" w:hAnsi="新宋体" w:eastAsia="新宋体"/>
          <w:color w:val="auto"/>
        </w:rPr>
      </w:pPr>
      <w:r>
        <w:rPr>
          <w:rFonts w:hint="eastAsia" w:ascii="新宋体" w:hAnsi="新宋体" w:eastAsia="新宋体"/>
          <w:color w:val="auto"/>
        </w:rPr>
        <w:t>（20XX-20XX学年）</w:t>
      </w:r>
    </w:p>
    <w:p w14:paraId="2BB5931E">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outlineLvl w:val="9"/>
        <w:rPr>
          <w:rFonts w:hint="eastAsia" w:ascii="新宋体" w:hAnsi="新宋体" w:eastAsia="新宋体"/>
          <w:color w:val="auto"/>
        </w:rPr>
      </w:pPr>
    </w:p>
    <w:p w14:paraId="6D5AFA72">
      <w:pPr>
        <w:keepNext w:val="0"/>
        <w:keepLines w:val="0"/>
        <w:pageBreakBefore w:val="0"/>
        <w:widowControl w:val="0"/>
        <w:kinsoku/>
        <w:wordWrap/>
        <w:overflowPunct/>
        <w:topLinePunct w:val="0"/>
        <w:autoSpaceDE/>
        <w:autoSpaceDN/>
        <w:bidi w:val="0"/>
        <w:adjustRightInd/>
        <w:snapToGrid/>
        <w:spacing w:line="0" w:lineRule="atLeast"/>
        <w:ind w:firstLine="0" w:firstLineChars="0"/>
        <w:textAlignment w:val="auto"/>
        <w:outlineLvl w:val="9"/>
        <w:rPr>
          <w:rFonts w:hint="eastAsia" w:eastAsia="新宋体"/>
          <w:color w:val="auto"/>
          <w:sz w:val="21"/>
          <w:szCs w:val="21"/>
          <w:u w:val="single"/>
        </w:rPr>
      </w:pPr>
      <w:r>
        <w:rPr>
          <w:rFonts w:hint="eastAsia" w:eastAsia="新宋体"/>
          <w:b/>
          <w:bCs/>
          <w:color w:val="auto"/>
          <w:sz w:val="21"/>
          <w:szCs w:val="21"/>
        </w:rPr>
        <w:t>学校：</w:t>
      </w:r>
      <w:r>
        <w:rPr>
          <w:rFonts w:hint="eastAsia" w:eastAsia="新宋体"/>
          <w:color w:val="auto"/>
          <w:sz w:val="21"/>
          <w:szCs w:val="21"/>
          <w:u w:val="single"/>
        </w:rPr>
        <w:t xml:space="preserve">            </w:t>
      </w:r>
      <w:r>
        <w:rPr>
          <w:rFonts w:hint="eastAsia" w:eastAsia="新宋体"/>
          <w:b/>
          <w:bCs/>
          <w:color w:val="auto"/>
          <w:sz w:val="21"/>
          <w:szCs w:val="21"/>
        </w:rPr>
        <w:t>院（系）：</w:t>
      </w:r>
      <w:r>
        <w:rPr>
          <w:rFonts w:hint="eastAsia" w:eastAsia="新宋体"/>
          <w:color w:val="auto"/>
          <w:sz w:val="21"/>
          <w:szCs w:val="21"/>
          <w:u w:val="single"/>
        </w:rPr>
        <w:t xml:space="preserve">       </w:t>
      </w:r>
      <w:r>
        <w:rPr>
          <w:rFonts w:hint="eastAsia" w:eastAsia="新宋体"/>
          <w:b/>
          <w:bCs/>
          <w:color w:val="auto"/>
          <w:sz w:val="21"/>
          <w:szCs w:val="21"/>
        </w:rPr>
        <w:t>专业：</w:t>
      </w:r>
      <w:r>
        <w:rPr>
          <w:rFonts w:hint="eastAsia" w:eastAsia="新宋体"/>
          <w:color w:val="auto"/>
          <w:sz w:val="21"/>
          <w:szCs w:val="21"/>
          <w:u w:val="single"/>
        </w:rPr>
        <w:t xml:space="preserve">     </w:t>
      </w:r>
      <w:r>
        <w:rPr>
          <w:rFonts w:eastAsia="新宋体"/>
          <w:color w:val="auto"/>
          <w:sz w:val="21"/>
          <w:szCs w:val="21"/>
          <w:u w:val="single"/>
        </w:rPr>
        <w:t xml:space="preserve"> </w:t>
      </w:r>
      <w:r>
        <w:rPr>
          <w:rFonts w:hint="eastAsia" w:eastAsia="新宋体"/>
          <w:color w:val="auto"/>
          <w:sz w:val="21"/>
          <w:szCs w:val="21"/>
          <w:u w:val="single"/>
        </w:rPr>
        <w:t xml:space="preserve">   </w:t>
      </w:r>
    </w:p>
    <w:p w14:paraId="6ACB35EC">
      <w:pPr>
        <w:keepNext w:val="0"/>
        <w:keepLines w:val="0"/>
        <w:pageBreakBefore w:val="0"/>
        <w:widowControl w:val="0"/>
        <w:kinsoku/>
        <w:wordWrap/>
        <w:overflowPunct/>
        <w:topLinePunct w:val="0"/>
        <w:autoSpaceDE/>
        <w:autoSpaceDN/>
        <w:bidi w:val="0"/>
        <w:adjustRightInd/>
        <w:snapToGrid/>
        <w:spacing w:line="0" w:lineRule="atLeast"/>
        <w:ind w:firstLine="0" w:firstLineChars="0"/>
        <w:textAlignment w:val="auto"/>
        <w:outlineLvl w:val="9"/>
        <w:rPr>
          <w:rFonts w:hint="eastAsia" w:eastAsia="新宋体"/>
          <w:color w:val="auto"/>
          <w:sz w:val="21"/>
          <w:szCs w:val="21"/>
          <w:u w:val="single"/>
        </w:rPr>
      </w:pPr>
      <w:r>
        <w:rPr>
          <w:rFonts w:hint="eastAsia" w:eastAsia="新宋体"/>
          <w:b/>
          <w:bCs/>
          <w:color w:val="auto"/>
          <w:sz w:val="21"/>
          <w:szCs w:val="21"/>
        </w:rPr>
        <w:t>年级：</w:t>
      </w:r>
      <w:r>
        <w:rPr>
          <w:rFonts w:hint="eastAsia" w:eastAsia="新宋体"/>
          <w:color w:val="auto"/>
          <w:sz w:val="21"/>
          <w:szCs w:val="21"/>
          <w:u w:val="single"/>
        </w:rPr>
        <w:t xml:space="preserve">    </w:t>
      </w:r>
      <w:r>
        <w:rPr>
          <w:rFonts w:eastAsia="新宋体"/>
          <w:color w:val="auto"/>
          <w:sz w:val="21"/>
          <w:szCs w:val="21"/>
          <w:u w:val="single"/>
        </w:rPr>
        <w:t xml:space="preserve">    </w:t>
      </w:r>
      <w:r>
        <w:rPr>
          <w:rFonts w:hint="eastAsia" w:eastAsia="新宋体"/>
          <w:color w:val="auto"/>
          <w:sz w:val="21"/>
          <w:szCs w:val="21"/>
          <w:u w:val="single"/>
        </w:rPr>
        <w:t xml:space="preserve"> </w:t>
      </w:r>
      <w:r>
        <w:rPr>
          <w:rFonts w:hint="eastAsia" w:eastAsia="新宋体"/>
          <w:b/>
          <w:bCs/>
          <w:color w:val="auto"/>
          <w:sz w:val="21"/>
          <w:szCs w:val="21"/>
        </w:rPr>
        <w:t>班级：</w:t>
      </w:r>
      <w:r>
        <w:rPr>
          <w:rFonts w:hint="eastAsia" w:eastAsia="新宋体"/>
          <w:color w:val="auto"/>
          <w:sz w:val="21"/>
          <w:szCs w:val="21"/>
          <w:u w:val="single"/>
        </w:rPr>
        <w:t xml:space="preserve">    </w:t>
      </w:r>
      <w:r>
        <w:rPr>
          <w:rFonts w:eastAsia="新宋体"/>
          <w:color w:val="auto"/>
          <w:sz w:val="21"/>
          <w:szCs w:val="21"/>
          <w:u w:val="single"/>
        </w:rPr>
        <w:t xml:space="preserve">    </w:t>
      </w:r>
      <w:r>
        <w:rPr>
          <w:rFonts w:hint="eastAsia" w:eastAsia="新宋体"/>
          <w:color w:val="auto"/>
          <w:sz w:val="21"/>
          <w:szCs w:val="21"/>
          <w:u w:val="single"/>
        </w:rPr>
        <w:t xml:space="preserve"> </w:t>
      </w:r>
    </w:p>
    <w:tbl>
      <w:tblPr>
        <w:tblStyle w:val="13"/>
        <w:tblW w:w="5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380"/>
        <w:gridCol w:w="538"/>
        <w:gridCol w:w="513"/>
        <w:gridCol w:w="524"/>
        <w:gridCol w:w="1"/>
        <w:gridCol w:w="520"/>
        <w:gridCol w:w="395"/>
        <w:gridCol w:w="769"/>
        <w:gridCol w:w="167"/>
        <w:gridCol w:w="150"/>
        <w:gridCol w:w="225"/>
        <w:gridCol w:w="153"/>
        <w:gridCol w:w="29"/>
        <w:gridCol w:w="225"/>
        <w:gridCol w:w="274"/>
        <w:gridCol w:w="371"/>
        <w:gridCol w:w="435"/>
      </w:tblGrid>
      <w:tr w14:paraId="65196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0" w:hRule="atLeast"/>
          <w:jc w:val="center"/>
        </w:trPr>
        <w:tc>
          <w:tcPr>
            <w:tcW w:w="380" w:type="dxa"/>
            <w:vMerge w:val="restart"/>
            <w:textDirection w:val="tbRlV"/>
            <w:vAlign w:val="center"/>
          </w:tcPr>
          <w:p w14:paraId="6A0162AA">
            <w:pPr>
              <w:keepNext w:val="0"/>
              <w:keepLines w:val="0"/>
              <w:pageBreakBefore w:val="0"/>
              <w:widowControl w:val="0"/>
              <w:kinsoku/>
              <w:wordWrap/>
              <w:overflowPunct/>
              <w:topLinePunct w:val="0"/>
              <w:autoSpaceDE/>
              <w:autoSpaceDN/>
              <w:bidi w:val="0"/>
              <w:adjustRightInd/>
              <w:snapToGrid/>
              <w:spacing w:line="0" w:lineRule="atLeast"/>
              <w:ind w:left="113" w:right="113" w:firstLine="0" w:firstLineChars="0"/>
              <w:jc w:val="center"/>
              <w:textAlignment w:val="auto"/>
              <w:outlineLvl w:val="9"/>
              <w:rPr>
                <w:rFonts w:hint="eastAsia" w:ascii="宋体" w:hAnsi="宋体" w:eastAsia="宋体" w:cs="宋体"/>
                <w:b/>
                <w:bCs/>
                <w:color w:val="auto"/>
                <w:sz w:val="18"/>
                <w:szCs w:val="18"/>
              </w:rPr>
            </w:pPr>
            <w:r>
              <w:rPr>
                <w:rFonts w:hint="eastAsia" w:ascii="宋体" w:hAnsi="宋体" w:eastAsia="宋体" w:cs="宋体"/>
                <w:b/>
                <w:bCs/>
                <w:color w:val="auto"/>
                <w:sz w:val="18"/>
                <w:szCs w:val="18"/>
              </w:rPr>
              <w:t>基本情况</w:t>
            </w:r>
          </w:p>
        </w:tc>
        <w:tc>
          <w:tcPr>
            <w:tcW w:w="538" w:type="dxa"/>
            <w:vAlign w:val="center"/>
          </w:tcPr>
          <w:p w14:paraId="7B25779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姓 名</w:t>
            </w:r>
          </w:p>
        </w:tc>
        <w:tc>
          <w:tcPr>
            <w:tcW w:w="1037" w:type="dxa"/>
            <w:gridSpan w:val="2"/>
            <w:vAlign w:val="center"/>
          </w:tcPr>
          <w:p w14:paraId="61B2D845">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outlineLvl w:val="9"/>
              <w:rPr>
                <w:rFonts w:hint="eastAsia" w:ascii="宋体" w:hAnsi="宋体" w:eastAsia="宋体" w:cs="宋体"/>
                <w:color w:val="auto"/>
                <w:sz w:val="18"/>
                <w:szCs w:val="18"/>
              </w:rPr>
            </w:pPr>
          </w:p>
        </w:tc>
        <w:tc>
          <w:tcPr>
            <w:tcW w:w="521" w:type="dxa"/>
            <w:gridSpan w:val="2"/>
            <w:vAlign w:val="center"/>
          </w:tcPr>
          <w:p w14:paraId="424C6E7B">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性 别</w:t>
            </w:r>
          </w:p>
        </w:tc>
        <w:tc>
          <w:tcPr>
            <w:tcW w:w="395" w:type="dxa"/>
            <w:vAlign w:val="center"/>
          </w:tcPr>
          <w:p w14:paraId="79269FC6">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outlineLvl w:val="9"/>
              <w:rPr>
                <w:rFonts w:hint="eastAsia" w:ascii="宋体" w:hAnsi="宋体" w:eastAsia="宋体" w:cs="宋体"/>
                <w:color w:val="auto"/>
                <w:sz w:val="18"/>
                <w:szCs w:val="18"/>
              </w:rPr>
            </w:pPr>
          </w:p>
        </w:tc>
        <w:tc>
          <w:tcPr>
            <w:tcW w:w="936" w:type="dxa"/>
            <w:gridSpan w:val="2"/>
            <w:vAlign w:val="center"/>
          </w:tcPr>
          <w:p w14:paraId="1AB889D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出生年月</w:t>
            </w:r>
          </w:p>
        </w:tc>
        <w:tc>
          <w:tcPr>
            <w:tcW w:w="782" w:type="dxa"/>
            <w:gridSpan w:val="5"/>
            <w:vAlign w:val="center"/>
          </w:tcPr>
          <w:p w14:paraId="481BABBD">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outlineLvl w:val="9"/>
              <w:rPr>
                <w:rFonts w:hint="eastAsia" w:ascii="宋体" w:hAnsi="宋体" w:eastAsia="宋体" w:cs="宋体"/>
                <w:color w:val="auto"/>
                <w:sz w:val="18"/>
                <w:szCs w:val="18"/>
              </w:rPr>
            </w:pPr>
          </w:p>
        </w:tc>
        <w:tc>
          <w:tcPr>
            <w:tcW w:w="645" w:type="dxa"/>
            <w:gridSpan w:val="2"/>
            <w:vAlign w:val="center"/>
          </w:tcPr>
          <w:p w14:paraId="774832FE">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籍  贯</w:t>
            </w:r>
          </w:p>
        </w:tc>
        <w:tc>
          <w:tcPr>
            <w:tcW w:w="435" w:type="dxa"/>
            <w:vAlign w:val="center"/>
          </w:tcPr>
          <w:p w14:paraId="363CAAF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outlineLvl w:val="9"/>
              <w:rPr>
                <w:rFonts w:hint="eastAsia" w:ascii="宋体" w:hAnsi="宋体" w:eastAsia="宋体" w:cs="宋体"/>
                <w:color w:val="auto"/>
                <w:sz w:val="18"/>
                <w:szCs w:val="18"/>
              </w:rPr>
            </w:pPr>
          </w:p>
        </w:tc>
      </w:tr>
      <w:tr w14:paraId="51203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0" w:hRule="atLeast"/>
          <w:jc w:val="center"/>
        </w:trPr>
        <w:tc>
          <w:tcPr>
            <w:tcW w:w="380" w:type="dxa"/>
            <w:vMerge w:val="continue"/>
            <w:vAlign w:val="center"/>
          </w:tcPr>
          <w:p w14:paraId="643BFA68">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b/>
                <w:bCs/>
                <w:color w:val="auto"/>
                <w:sz w:val="18"/>
                <w:szCs w:val="18"/>
              </w:rPr>
            </w:pPr>
          </w:p>
        </w:tc>
        <w:tc>
          <w:tcPr>
            <w:tcW w:w="538" w:type="dxa"/>
            <w:vAlign w:val="center"/>
          </w:tcPr>
          <w:p w14:paraId="190D3F10">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身份证号  码</w:t>
            </w:r>
          </w:p>
        </w:tc>
        <w:tc>
          <w:tcPr>
            <w:tcW w:w="1558" w:type="dxa"/>
            <w:gridSpan w:val="4"/>
            <w:vAlign w:val="center"/>
          </w:tcPr>
          <w:p w14:paraId="1C1F9B15">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395" w:type="dxa"/>
            <w:vAlign w:val="center"/>
          </w:tcPr>
          <w:p w14:paraId="2C65B9EA">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家庭人口</w:t>
            </w:r>
          </w:p>
        </w:tc>
        <w:tc>
          <w:tcPr>
            <w:tcW w:w="936" w:type="dxa"/>
            <w:gridSpan w:val="2"/>
            <w:vAlign w:val="center"/>
          </w:tcPr>
          <w:p w14:paraId="589EA9E0">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782" w:type="dxa"/>
            <w:gridSpan w:val="5"/>
            <w:vAlign w:val="center"/>
          </w:tcPr>
          <w:p w14:paraId="3AEF5FAF">
            <w:pPr>
              <w:keepNext w:val="0"/>
              <w:keepLines w:val="0"/>
              <w:pageBreakBefore w:val="0"/>
              <w:kinsoku/>
              <w:wordWrap/>
              <w:overflowPunct/>
              <w:topLinePunct w:val="0"/>
              <w:autoSpaceDE/>
              <w:autoSpaceDN/>
              <w:bidi w:val="0"/>
              <w:spacing w:line="0" w:lineRule="atLeast"/>
              <w:ind w:firstLine="90" w:firstLineChars="50"/>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手机号码</w:t>
            </w:r>
          </w:p>
        </w:tc>
        <w:tc>
          <w:tcPr>
            <w:tcW w:w="1080" w:type="dxa"/>
            <w:gridSpan w:val="3"/>
            <w:vAlign w:val="center"/>
          </w:tcPr>
          <w:p w14:paraId="4D2E4A3A">
            <w:pPr>
              <w:keepNext w:val="0"/>
              <w:keepLines w:val="0"/>
              <w:pageBreakBefore w:val="0"/>
              <w:kinsoku/>
              <w:wordWrap/>
              <w:overflowPunct/>
              <w:topLinePunct w:val="0"/>
              <w:autoSpaceDE/>
              <w:autoSpaceDN/>
              <w:bidi w:val="0"/>
              <w:spacing w:line="0" w:lineRule="atLeast"/>
              <w:ind w:firstLine="180" w:firstLineChars="100"/>
              <w:textAlignment w:val="auto"/>
              <w:outlineLvl w:val="9"/>
              <w:rPr>
                <w:rFonts w:hint="eastAsia" w:ascii="宋体" w:hAnsi="宋体" w:eastAsia="宋体" w:cs="宋体"/>
                <w:color w:val="auto"/>
                <w:sz w:val="18"/>
                <w:szCs w:val="18"/>
              </w:rPr>
            </w:pPr>
          </w:p>
        </w:tc>
      </w:tr>
      <w:tr w14:paraId="3D57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0" w:hRule="atLeast"/>
          <w:jc w:val="center"/>
        </w:trPr>
        <w:tc>
          <w:tcPr>
            <w:tcW w:w="380" w:type="dxa"/>
            <w:vMerge w:val="restart"/>
            <w:vAlign w:val="center"/>
          </w:tcPr>
          <w:p w14:paraId="3C3DAA61">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b/>
                <w:bCs/>
                <w:color w:val="auto"/>
                <w:sz w:val="18"/>
                <w:szCs w:val="18"/>
              </w:rPr>
            </w:pPr>
            <w:r>
              <w:rPr>
                <w:rFonts w:hint="eastAsia" w:ascii="宋体" w:hAnsi="宋体" w:eastAsia="宋体" w:cs="宋体"/>
                <w:b/>
                <w:bCs/>
                <w:color w:val="auto"/>
                <w:sz w:val="18"/>
                <w:szCs w:val="18"/>
              </w:rPr>
              <w:t>家庭通讯信息</w:t>
            </w:r>
          </w:p>
        </w:tc>
        <w:tc>
          <w:tcPr>
            <w:tcW w:w="1051" w:type="dxa"/>
            <w:gridSpan w:val="2"/>
            <w:vAlign w:val="center"/>
          </w:tcPr>
          <w:p w14:paraId="5E35C14F">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详细通讯地址</w:t>
            </w:r>
          </w:p>
        </w:tc>
        <w:tc>
          <w:tcPr>
            <w:tcW w:w="4238" w:type="dxa"/>
            <w:gridSpan w:val="14"/>
            <w:vAlign w:val="center"/>
          </w:tcPr>
          <w:p w14:paraId="72BA0072">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r>
      <w:tr w14:paraId="3B05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0" w:hRule="atLeast"/>
          <w:jc w:val="center"/>
        </w:trPr>
        <w:tc>
          <w:tcPr>
            <w:tcW w:w="380" w:type="dxa"/>
            <w:vMerge w:val="continue"/>
            <w:vAlign w:val="top"/>
          </w:tcPr>
          <w:p w14:paraId="6FAC221F">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1051" w:type="dxa"/>
            <w:gridSpan w:val="2"/>
            <w:vAlign w:val="center"/>
          </w:tcPr>
          <w:p w14:paraId="3F143DB4">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邮政编码</w:t>
            </w:r>
          </w:p>
        </w:tc>
        <w:tc>
          <w:tcPr>
            <w:tcW w:w="1045" w:type="dxa"/>
            <w:gridSpan w:val="3"/>
            <w:vAlign w:val="center"/>
          </w:tcPr>
          <w:p w14:paraId="635587CA">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1706" w:type="dxa"/>
            <w:gridSpan w:val="5"/>
            <w:vAlign w:val="center"/>
          </w:tcPr>
          <w:p w14:paraId="4D7B9F0E">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家长（或监护人）手机号码</w:t>
            </w:r>
          </w:p>
        </w:tc>
        <w:tc>
          <w:tcPr>
            <w:tcW w:w="1487" w:type="dxa"/>
            <w:gridSpan w:val="6"/>
            <w:vAlign w:val="center"/>
          </w:tcPr>
          <w:p w14:paraId="0C4CF9EF">
            <w:pPr>
              <w:keepNext w:val="0"/>
              <w:keepLines w:val="0"/>
              <w:pageBreakBefore w:val="0"/>
              <w:kinsoku/>
              <w:wordWrap/>
              <w:overflowPunct/>
              <w:topLinePunct w:val="0"/>
              <w:autoSpaceDE/>
              <w:autoSpaceDN/>
              <w:bidi w:val="0"/>
              <w:spacing w:line="0" w:lineRule="atLeast"/>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 xml:space="preserve">     </w:t>
            </w:r>
          </w:p>
        </w:tc>
      </w:tr>
      <w:tr w14:paraId="4D64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0" w:hRule="atLeast"/>
          <w:jc w:val="center"/>
        </w:trPr>
        <w:tc>
          <w:tcPr>
            <w:tcW w:w="380" w:type="dxa"/>
            <w:vMerge w:val="restart"/>
            <w:textDirection w:val="tbRlV"/>
            <w:vAlign w:val="center"/>
          </w:tcPr>
          <w:p w14:paraId="2C9E9267">
            <w:pPr>
              <w:keepNext w:val="0"/>
              <w:keepLines w:val="0"/>
              <w:pageBreakBefore w:val="0"/>
              <w:kinsoku/>
              <w:wordWrap/>
              <w:overflowPunct/>
              <w:topLinePunct w:val="0"/>
              <w:autoSpaceDE/>
              <w:autoSpaceDN/>
              <w:bidi w:val="0"/>
              <w:spacing w:line="0" w:lineRule="atLeast"/>
              <w:ind w:left="113" w:right="113"/>
              <w:jc w:val="center"/>
              <w:textAlignment w:val="auto"/>
              <w:outlineLvl w:val="9"/>
              <w:rPr>
                <w:rFonts w:hint="eastAsia" w:ascii="宋体" w:hAnsi="宋体" w:eastAsia="宋体" w:cs="宋体"/>
                <w:b/>
                <w:bCs/>
                <w:color w:val="auto"/>
                <w:sz w:val="18"/>
                <w:szCs w:val="18"/>
              </w:rPr>
            </w:pPr>
            <w:r>
              <w:rPr>
                <w:rFonts w:hint="eastAsia" w:ascii="宋体" w:hAnsi="宋体" w:eastAsia="宋体" w:cs="宋体"/>
                <w:b/>
                <w:bCs/>
                <w:color w:val="auto"/>
                <w:sz w:val="18"/>
                <w:szCs w:val="18"/>
              </w:rPr>
              <w:t>家庭成员情况</w:t>
            </w:r>
          </w:p>
        </w:tc>
        <w:tc>
          <w:tcPr>
            <w:tcW w:w="538" w:type="dxa"/>
            <w:vAlign w:val="center"/>
          </w:tcPr>
          <w:p w14:paraId="3CC31A27">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姓名</w:t>
            </w:r>
          </w:p>
        </w:tc>
        <w:tc>
          <w:tcPr>
            <w:tcW w:w="513" w:type="dxa"/>
            <w:vAlign w:val="center"/>
          </w:tcPr>
          <w:p w14:paraId="55CF1421">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年龄</w:t>
            </w:r>
          </w:p>
        </w:tc>
        <w:tc>
          <w:tcPr>
            <w:tcW w:w="525" w:type="dxa"/>
            <w:gridSpan w:val="2"/>
            <w:vAlign w:val="center"/>
          </w:tcPr>
          <w:p w14:paraId="592D1E5C">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与学生</w:t>
            </w:r>
          </w:p>
          <w:p w14:paraId="5CF4C3C8">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关系</w:t>
            </w:r>
          </w:p>
        </w:tc>
        <w:tc>
          <w:tcPr>
            <w:tcW w:w="2001" w:type="dxa"/>
            <w:gridSpan w:val="5"/>
            <w:vAlign w:val="center"/>
          </w:tcPr>
          <w:p w14:paraId="41845524">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工作（学习）单位</w:t>
            </w:r>
          </w:p>
        </w:tc>
        <w:tc>
          <w:tcPr>
            <w:tcW w:w="378" w:type="dxa"/>
            <w:gridSpan w:val="2"/>
            <w:vAlign w:val="center"/>
          </w:tcPr>
          <w:p w14:paraId="3613DFC4">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职业</w:t>
            </w:r>
          </w:p>
        </w:tc>
        <w:tc>
          <w:tcPr>
            <w:tcW w:w="528" w:type="dxa"/>
            <w:gridSpan w:val="3"/>
            <w:vAlign w:val="center"/>
          </w:tcPr>
          <w:p w14:paraId="7427C946">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年收入（元）</w:t>
            </w:r>
          </w:p>
        </w:tc>
        <w:tc>
          <w:tcPr>
            <w:tcW w:w="806" w:type="dxa"/>
            <w:gridSpan w:val="2"/>
            <w:vAlign w:val="center"/>
          </w:tcPr>
          <w:p w14:paraId="3E291BE3">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健康状况</w:t>
            </w:r>
          </w:p>
        </w:tc>
      </w:tr>
      <w:tr w14:paraId="1B093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0" w:hRule="atLeast"/>
          <w:jc w:val="center"/>
        </w:trPr>
        <w:tc>
          <w:tcPr>
            <w:tcW w:w="380" w:type="dxa"/>
            <w:vMerge w:val="continue"/>
            <w:vAlign w:val="top"/>
          </w:tcPr>
          <w:p w14:paraId="552027AF">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538" w:type="dxa"/>
            <w:vAlign w:val="center"/>
          </w:tcPr>
          <w:p w14:paraId="0B7CA8A6">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513" w:type="dxa"/>
            <w:vAlign w:val="center"/>
          </w:tcPr>
          <w:p w14:paraId="48A056C7">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525" w:type="dxa"/>
            <w:gridSpan w:val="2"/>
            <w:vAlign w:val="center"/>
          </w:tcPr>
          <w:p w14:paraId="1E50602B">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2001" w:type="dxa"/>
            <w:gridSpan w:val="5"/>
            <w:vAlign w:val="center"/>
          </w:tcPr>
          <w:p w14:paraId="047472EE">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378" w:type="dxa"/>
            <w:gridSpan w:val="2"/>
            <w:vAlign w:val="center"/>
          </w:tcPr>
          <w:p w14:paraId="0230970A">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528" w:type="dxa"/>
            <w:gridSpan w:val="3"/>
            <w:vAlign w:val="center"/>
          </w:tcPr>
          <w:p w14:paraId="6A6BC5CF">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806" w:type="dxa"/>
            <w:gridSpan w:val="2"/>
            <w:vAlign w:val="center"/>
          </w:tcPr>
          <w:p w14:paraId="7006CAA0">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r>
      <w:tr w14:paraId="6A0B8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0" w:hRule="atLeast"/>
          <w:jc w:val="center"/>
        </w:trPr>
        <w:tc>
          <w:tcPr>
            <w:tcW w:w="380" w:type="dxa"/>
            <w:vMerge w:val="continue"/>
            <w:vAlign w:val="top"/>
          </w:tcPr>
          <w:p w14:paraId="51D11491">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538" w:type="dxa"/>
            <w:vAlign w:val="center"/>
          </w:tcPr>
          <w:p w14:paraId="189B354E">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513" w:type="dxa"/>
            <w:vAlign w:val="center"/>
          </w:tcPr>
          <w:p w14:paraId="124BDD5F">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525" w:type="dxa"/>
            <w:gridSpan w:val="2"/>
            <w:vAlign w:val="center"/>
          </w:tcPr>
          <w:p w14:paraId="07BD7441">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2001" w:type="dxa"/>
            <w:gridSpan w:val="5"/>
            <w:vAlign w:val="center"/>
          </w:tcPr>
          <w:p w14:paraId="5FE4AEE6">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378" w:type="dxa"/>
            <w:gridSpan w:val="2"/>
            <w:vAlign w:val="center"/>
          </w:tcPr>
          <w:p w14:paraId="1C47EB60">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528" w:type="dxa"/>
            <w:gridSpan w:val="3"/>
            <w:vAlign w:val="center"/>
          </w:tcPr>
          <w:p w14:paraId="3FC6B581">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806" w:type="dxa"/>
            <w:gridSpan w:val="2"/>
            <w:vAlign w:val="center"/>
          </w:tcPr>
          <w:p w14:paraId="01E1141F">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r>
      <w:tr w14:paraId="03AB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0" w:hRule="atLeast"/>
          <w:jc w:val="center"/>
        </w:trPr>
        <w:tc>
          <w:tcPr>
            <w:tcW w:w="380" w:type="dxa"/>
            <w:vMerge w:val="continue"/>
            <w:vAlign w:val="top"/>
          </w:tcPr>
          <w:p w14:paraId="7D031CE6">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538" w:type="dxa"/>
            <w:vAlign w:val="center"/>
          </w:tcPr>
          <w:p w14:paraId="3EB7FDA2">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513" w:type="dxa"/>
            <w:vAlign w:val="center"/>
          </w:tcPr>
          <w:p w14:paraId="5B45883D">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525" w:type="dxa"/>
            <w:gridSpan w:val="2"/>
            <w:vAlign w:val="center"/>
          </w:tcPr>
          <w:p w14:paraId="0C4248EE">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2001" w:type="dxa"/>
            <w:gridSpan w:val="5"/>
            <w:vAlign w:val="center"/>
          </w:tcPr>
          <w:p w14:paraId="5A18F258">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378" w:type="dxa"/>
            <w:gridSpan w:val="2"/>
            <w:vAlign w:val="center"/>
          </w:tcPr>
          <w:p w14:paraId="5FA1E15B">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528" w:type="dxa"/>
            <w:gridSpan w:val="3"/>
            <w:vAlign w:val="center"/>
          </w:tcPr>
          <w:p w14:paraId="3BCEAEDB">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806" w:type="dxa"/>
            <w:gridSpan w:val="2"/>
            <w:vAlign w:val="center"/>
          </w:tcPr>
          <w:p w14:paraId="24A93648">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r>
      <w:tr w14:paraId="72D6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0" w:hRule="atLeast"/>
          <w:jc w:val="center"/>
        </w:trPr>
        <w:tc>
          <w:tcPr>
            <w:tcW w:w="380" w:type="dxa"/>
            <w:vMerge w:val="continue"/>
            <w:vAlign w:val="top"/>
          </w:tcPr>
          <w:p w14:paraId="63A98211">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538" w:type="dxa"/>
            <w:vAlign w:val="center"/>
          </w:tcPr>
          <w:p w14:paraId="37BCC667">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513" w:type="dxa"/>
            <w:vAlign w:val="center"/>
          </w:tcPr>
          <w:p w14:paraId="26D0F542">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525" w:type="dxa"/>
            <w:gridSpan w:val="2"/>
            <w:vAlign w:val="center"/>
          </w:tcPr>
          <w:p w14:paraId="54233A7D">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2001" w:type="dxa"/>
            <w:gridSpan w:val="5"/>
            <w:vAlign w:val="center"/>
          </w:tcPr>
          <w:p w14:paraId="14294043">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378" w:type="dxa"/>
            <w:gridSpan w:val="2"/>
            <w:vAlign w:val="center"/>
          </w:tcPr>
          <w:p w14:paraId="645DEE97">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528" w:type="dxa"/>
            <w:gridSpan w:val="3"/>
            <w:vAlign w:val="center"/>
          </w:tcPr>
          <w:p w14:paraId="0A3F387C">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c>
          <w:tcPr>
            <w:tcW w:w="806" w:type="dxa"/>
            <w:gridSpan w:val="2"/>
            <w:vAlign w:val="center"/>
          </w:tcPr>
          <w:p w14:paraId="4DBF2217">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p>
        </w:tc>
      </w:tr>
      <w:tr w14:paraId="3BBF6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586" w:hRule="atLeast"/>
          <w:jc w:val="center"/>
        </w:trPr>
        <w:tc>
          <w:tcPr>
            <w:tcW w:w="380" w:type="dxa"/>
            <w:vAlign w:val="center"/>
          </w:tcPr>
          <w:p w14:paraId="5337B58F">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b/>
                <w:bCs/>
                <w:color w:val="auto"/>
                <w:sz w:val="18"/>
                <w:szCs w:val="18"/>
              </w:rPr>
            </w:pPr>
            <w:r>
              <w:rPr>
                <w:rFonts w:hint="eastAsia" w:ascii="宋体" w:hAnsi="宋体" w:eastAsia="宋体" w:cs="宋体"/>
                <w:b/>
                <w:bCs/>
                <w:color w:val="auto"/>
                <w:sz w:val="18"/>
                <w:szCs w:val="18"/>
              </w:rPr>
              <w:t>特殊群体类型</w:t>
            </w:r>
          </w:p>
        </w:tc>
        <w:tc>
          <w:tcPr>
            <w:tcW w:w="5289" w:type="dxa"/>
            <w:gridSpan w:val="16"/>
            <w:tcBorders>
              <w:bottom w:val="single" w:color="auto" w:sz="4" w:space="0"/>
            </w:tcBorders>
            <w:vAlign w:val="top"/>
          </w:tcPr>
          <w:p w14:paraId="381F2565">
            <w:pPr>
              <w:keepNext w:val="0"/>
              <w:keepLines w:val="0"/>
              <w:pageBreakBefore w:val="0"/>
              <w:kinsoku/>
              <w:wordWrap/>
              <w:overflowPunct/>
              <w:topLinePunct w:val="0"/>
              <w:autoSpaceDE/>
              <w:autoSpaceDN/>
              <w:bidi w:val="0"/>
              <w:spacing w:line="0" w:lineRule="atLeast"/>
              <w:textAlignment w:val="auto"/>
              <w:outlineLvl w:val="9"/>
              <w:rPr>
                <w:rFonts w:hint="eastAsia" w:ascii="宋体" w:hAnsi="宋体" w:eastAsia="宋体" w:cs="宋体"/>
                <w:color w:val="auto"/>
                <w:sz w:val="18"/>
                <w:szCs w:val="18"/>
              </w:rPr>
            </w:pPr>
            <w:r>
              <w:rPr>
                <w:rFonts w:hint="eastAsia" w:ascii="宋体" w:hAnsi="宋体" w:eastAsia="宋体" w:cs="宋体"/>
                <w:b/>
                <w:color w:val="auto"/>
                <w:sz w:val="18"/>
                <w:szCs w:val="18"/>
              </w:rPr>
              <w:t>建档立卡贫困户家庭学生：</w:t>
            </w:r>
            <w:r>
              <w:rPr>
                <w:rFonts w:hint="eastAsia" w:ascii="宋体" w:hAnsi="宋体" w:eastAsia="宋体" w:cs="宋体"/>
                <w:color w:val="auto"/>
                <w:sz w:val="18"/>
                <w:szCs w:val="18"/>
              </w:rPr>
              <w:t>□是 □否；</w:t>
            </w:r>
            <w:r>
              <w:rPr>
                <w:rFonts w:hint="eastAsia" w:ascii="宋体" w:hAnsi="宋体" w:eastAsia="宋体" w:cs="宋体"/>
                <w:b/>
                <w:color w:val="auto"/>
                <w:sz w:val="18"/>
                <w:szCs w:val="18"/>
              </w:rPr>
              <w:t>最低生活保障家庭学生：</w:t>
            </w:r>
            <w:r>
              <w:rPr>
                <w:rFonts w:hint="eastAsia" w:ascii="宋体" w:hAnsi="宋体" w:eastAsia="宋体" w:cs="宋体"/>
                <w:color w:val="auto"/>
                <w:sz w:val="18"/>
                <w:szCs w:val="18"/>
              </w:rPr>
              <w:t>□是 □否；</w:t>
            </w:r>
          </w:p>
          <w:p w14:paraId="1AB42024">
            <w:pPr>
              <w:keepNext w:val="0"/>
              <w:keepLines w:val="0"/>
              <w:pageBreakBefore w:val="0"/>
              <w:kinsoku/>
              <w:wordWrap/>
              <w:overflowPunct/>
              <w:topLinePunct w:val="0"/>
              <w:autoSpaceDE/>
              <w:autoSpaceDN/>
              <w:bidi w:val="0"/>
              <w:spacing w:line="0" w:lineRule="atLeast"/>
              <w:textAlignment w:val="auto"/>
              <w:outlineLvl w:val="9"/>
              <w:rPr>
                <w:rFonts w:hint="eastAsia" w:ascii="宋体" w:hAnsi="宋体" w:eastAsia="宋体" w:cs="宋体"/>
                <w:b/>
                <w:color w:val="auto"/>
                <w:sz w:val="18"/>
                <w:szCs w:val="18"/>
              </w:rPr>
            </w:pPr>
            <w:r>
              <w:rPr>
                <w:rFonts w:hint="eastAsia" w:ascii="宋体" w:hAnsi="宋体" w:eastAsia="宋体" w:cs="宋体"/>
                <w:b/>
                <w:color w:val="auto"/>
                <w:sz w:val="18"/>
                <w:szCs w:val="18"/>
              </w:rPr>
              <w:t>特困供养学生：</w:t>
            </w:r>
            <w:r>
              <w:rPr>
                <w:rFonts w:hint="eastAsia" w:ascii="宋体" w:hAnsi="宋体" w:eastAsia="宋体" w:cs="宋体"/>
                <w:color w:val="auto"/>
                <w:sz w:val="18"/>
                <w:szCs w:val="18"/>
              </w:rPr>
              <w:t>□是 □否；</w:t>
            </w:r>
            <w:r>
              <w:rPr>
                <w:rFonts w:hint="eastAsia" w:ascii="宋体" w:hAnsi="宋体" w:eastAsia="宋体" w:cs="宋体"/>
                <w:b/>
                <w:color w:val="auto"/>
                <w:sz w:val="18"/>
                <w:szCs w:val="18"/>
              </w:rPr>
              <w:t>孤残学生：</w:t>
            </w:r>
            <w:r>
              <w:rPr>
                <w:rFonts w:hint="eastAsia" w:ascii="宋体" w:hAnsi="宋体" w:eastAsia="宋体" w:cs="宋体"/>
                <w:color w:val="auto"/>
                <w:sz w:val="18"/>
                <w:szCs w:val="18"/>
              </w:rPr>
              <w:t>□是 □否；</w:t>
            </w:r>
            <w:r>
              <w:rPr>
                <w:rFonts w:hint="eastAsia" w:ascii="宋体" w:hAnsi="宋体" w:eastAsia="宋体" w:cs="宋体"/>
                <w:b/>
                <w:color w:val="auto"/>
                <w:sz w:val="18"/>
                <w:szCs w:val="18"/>
              </w:rPr>
              <w:t>烈士子女：</w:t>
            </w:r>
            <w:r>
              <w:rPr>
                <w:rFonts w:hint="eastAsia" w:ascii="宋体" w:hAnsi="宋体" w:eastAsia="宋体" w:cs="宋体"/>
                <w:color w:val="auto"/>
                <w:sz w:val="18"/>
                <w:szCs w:val="18"/>
              </w:rPr>
              <w:t>□是 □否；</w:t>
            </w:r>
          </w:p>
          <w:p w14:paraId="69A08604">
            <w:pPr>
              <w:keepNext w:val="0"/>
              <w:keepLines w:val="0"/>
              <w:pageBreakBefore w:val="0"/>
              <w:kinsoku/>
              <w:wordWrap/>
              <w:overflowPunct/>
              <w:topLinePunct w:val="0"/>
              <w:autoSpaceDE/>
              <w:autoSpaceDN/>
              <w:bidi w:val="0"/>
              <w:spacing w:line="0" w:lineRule="atLeast"/>
              <w:textAlignment w:val="auto"/>
              <w:outlineLvl w:val="9"/>
              <w:rPr>
                <w:rFonts w:hint="eastAsia" w:ascii="宋体" w:hAnsi="宋体" w:eastAsia="宋体" w:cs="宋体"/>
                <w:color w:val="auto"/>
                <w:sz w:val="18"/>
                <w:szCs w:val="18"/>
              </w:rPr>
            </w:pPr>
            <w:r>
              <w:rPr>
                <w:rFonts w:hint="eastAsia" w:ascii="宋体" w:hAnsi="宋体" w:eastAsia="宋体" w:cs="宋体"/>
                <w:b/>
                <w:color w:val="auto"/>
                <w:sz w:val="18"/>
                <w:szCs w:val="18"/>
              </w:rPr>
              <w:t>家庭经济困难残疾学生及残疾人子女：</w:t>
            </w:r>
            <w:r>
              <w:rPr>
                <w:rFonts w:hint="eastAsia" w:ascii="宋体" w:hAnsi="宋体" w:eastAsia="宋体" w:cs="宋体"/>
                <w:color w:val="auto"/>
                <w:sz w:val="18"/>
                <w:szCs w:val="18"/>
              </w:rPr>
              <w:t>□是 □否。</w:t>
            </w:r>
          </w:p>
        </w:tc>
      </w:tr>
      <w:tr w14:paraId="78888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363" w:hRule="atLeast"/>
          <w:jc w:val="center"/>
        </w:trPr>
        <w:tc>
          <w:tcPr>
            <w:tcW w:w="380" w:type="dxa"/>
            <w:tcBorders>
              <w:bottom w:val="single" w:color="auto" w:sz="4" w:space="0"/>
            </w:tcBorders>
            <w:vAlign w:val="center"/>
          </w:tcPr>
          <w:p w14:paraId="37AF92BD">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b/>
                <w:bCs/>
                <w:color w:val="auto"/>
                <w:sz w:val="18"/>
                <w:szCs w:val="18"/>
              </w:rPr>
            </w:pPr>
            <w:r>
              <w:rPr>
                <w:rFonts w:hint="eastAsia" w:ascii="宋体" w:hAnsi="宋体" w:eastAsia="宋体" w:cs="宋体"/>
                <w:b/>
                <w:bCs/>
                <w:color w:val="auto"/>
                <w:sz w:val="18"/>
                <w:szCs w:val="18"/>
              </w:rPr>
              <w:t>影响家庭经济</w:t>
            </w:r>
          </w:p>
          <w:p w14:paraId="333E76DD">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b/>
                <w:bCs/>
                <w:color w:val="auto"/>
                <w:sz w:val="18"/>
                <w:szCs w:val="18"/>
              </w:rPr>
            </w:pPr>
            <w:r>
              <w:rPr>
                <w:rFonts w:hint="eastAsia" w:ascii="宋体" w:hAnsi="宋体" w:eastAsia="宋体" w:cs="宋体"/>
                <w:b/>
                <w:bCs/>
                <w:color w:val="auto"/>
                <w:sz w:val="18"/>
                <w:szCs w:val="18"/>
              </w:rPr>
              <w:t>状况有关信息</w:t>
            </w:r>
          </w:p>
        </w:tc>
        <w:tc>
          <w:tcPr>
            <w:tcW w:w="5289" w:type="dxa"/>
            <w:gridSpan w:val="16"/>
            <w:tcBorders>
              <w:bottom w:val="single" w:color="auto" w:sz="4" w:space="0"/>
            </w:tcBorders>
            <w:vAlign w:val="top"/>
          </w:tcPr>
          <w:p w14:paraId="58BF73E6">
            <w:pPr>
              <w:keepNext w:val="0"/>
              <w:keepLines w:val="0"/>
              <w:pageBreakBefore w:val="0"/>
              <w:kinsoku/>
              <w:wordWrap/>
              <w:overflowPunct/>
              <w:topLinePunct w:val="0"/>
              <w:autoSpaceDE/>
              <w:autoSpaceDN/>
              <w:bidi w:val="0"/>
              <w:spacing w:line="0" w:lineRule="atLeast"/>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家庭人均年收入</w:t>
            </w:r>
            <w:r>
              <w:rPr>
                <w:rFonts w:hint="eastAsia" w:ascii="宋体" w:hAnsi="宋体" w:eastAsia="宋体" w:cs="宋体"/>
                <w:color w:val="auto"/>
                <w:sz w:val="18"/>
                <w:szCs w:val="18"/>
                <w:u w:val="single"/>
              </w:rPr>
              <w:t xml:space="preserve">        </w:t>
            </w:r>
            <w:r>
              <w:rPr>
                <w:rFonts w:hint="eastAsia" w:ascii="宋体" w:hAnsi="宋体" w:eastAsia="宋体" w:cs="宋体"/>
                <w:color w:val="auto"/>
                <w:sz w:val="18"/>
                <w:szCs w:val="18"/>
              </w:rPr>
              <w:t>元。</w:t>
            </w:r>
          </w:p>
          <w:p w14:paraId="0F4F629B">
            <w:pPr>
              <w:keepNext w:val="0"/>
              <w:keepLines w:val="0"/>
              <w:pageBreakBefore w:val="0"/>
              <w:kinsoku/>
              <w:wordWrap/>
              <w:overflowPunct/>
              <w:topLinePunct w:val="0"/>
              <w:autoSpaceDE/>
              <w:autoSpaceDN/>
              <w:bidi w:val="0"/>
              <w:spacing w:line="0" w:lineRule="atLeast"/>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家庭遭受自然灾害情况：</w:t>
            </w:r>
            <w:r>
              <w:rPr>
                <w:rFonts w:hint="eastAsia" w:ascii="宋体" w:hAnsi="宋体" w:eastAsia="宋体" w:cs="宋体"/>
                <w:color w:val="auto"/>
                <w:sz w:val="18"/>
                <w:szCs w:val="18"/>
                <w:u w:val="single"/>
              </w:rPr>
              <w:t xml:space="preserve">                 </w:t>
            </w:r>
            <w:r>
              <w:rPr>
                <w:rFonts w:hint="eastAsia" w:ascii="宋体" w:hAnsi="宋体" w:eastAsia="宋体" w:cs="宋体"/>
                <w:color w:val="auto"/>
                <w:sz w:val="18"/>
                <w:szCs w:val="18"/>
              </w:rPr>
              <w:t>。家庭遭受突发意外事件：</w:t>
            </w:r>
            <w:r>
              <w:rPr>
                <w:rFonts w:hint="eastAsia" w:ascii="宋体" w:hAnsi="宋体" w:eastAsia="宋体" w:cs="宋体"/>
                <w:color w:val="auto"/>
                <w:sz w:val="18"/>
                <w:szCs w:val="18"/>
                <w:u w:val="single"/>
              </w:rPr>
              <w:t xml:space="preserve">                   </w:t>
            </w:r>
            <w:r>
              <w:rPr>
                <w:rFonts w:hint="eastAsia" w:ascii="宋体" w:hAnsi="宋体" w:eastAsia="宋体" w:cs="宋体"/>
                <w:color w:val="auto"/>
                <w:sz w:val="18"/>
                <w:szCs w:val="18"/>
              </w:rPr>
              <w:t>。</w:t>
            </w:r>
          </w:p>
          <w:p w14:paraId="3CCE0CAE">
            <w:pPr>
              <w:keepNext w:val="0"/>
              <w:keepLines w:val="0"/>
              <w:pageBreakBefore w:val="0"/>
              <w:kinsoku/>
              <w:wordWrap/>
              <w:overflowPunct/>
              <w:topLinePunct w:val="0"/>
              <w:autoSpaceDE/>
              <w:autoSpaceDN/>
              <w:bidi w:val="0"/>
              <w:spacing w:line="0" w:lineRule="atLeast"/>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家庭成员因残疾、年迈而劳动能力弱情况：</w:t>
            </w:r>
            <w:r>
              <w:rPr>
                <w:rFonts w:hint="eastAsia" w:ascii="宋体" w:hAnsi="宋体" w:eastAsia="宋体" w:cs="宋体"/>
                <w:color w:val="auto"/>
                <w:sz w:val="18"/>
                <w:szCs w:val="18"/>
                <w:u w:val="single"/>
              </w:rPr>
              <w:t xml:space="preserve">                                            </w:t>
            </w:r>
            <w:r>
              <w:rPr>
                <w:rFonts w:hint="eastAsia" w:ascii="宋体" w:hAnsi="宋体" w:eastAsia="宋体" w:cs="宋体"/>
                <w:color w:val="auto"/>
                <w:sz w:val="18"/>
                <w:szCs w:val="18"/>
              </w:rPr>
              <w:t>。</w:t>
            </w:r>
          </w:p>
          <w:p w14:paraId="54D9D85F">
            <w:pPr>
              <w:keepNext w:val="0"/>
              <w:keepLines w:val="0"/>
              <w:pageBreakBefore w:val="0"/>
              <w:kinsoku/>
              <w:wordWrap/>
              <w:overflowPunct/>
              <w:topLinePunct w:val="0"/>
              <w:autoSpaceDE/>
              <w:autoSpaceDN/>
              <w:bidi w:val="0"/>
              <w:spacing w:line="0" w:lineRule="atLeast"/>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家庭成员失业情况：</w:t>
            </w:r>
            <w:r>
              <w:rPr>
                <w:rFonts w:hint="eastAsia" w:ascii="宋体" w:hAnsi="宋体" w:eastAsia="宋体" w:cs="宋体"/>
                <w:color w:val="auto"/>
                <w:sz w:val="18"/>
                <w:szCs w:val="18"/>
                <w:u w:val="single"/>
              </w:rPr>
              <w:t xml:space="preserve">                    </w:t>
            </w:r>
            <w:r>
              <w:rPr>
                <w:rFonts w:hint="eastAsia" w:ascii="宋体" w:hAnsi="宋体" w:eastAsia="宋体" w:cs="宋体"/>
                <w:color w:val="auto"/>
                <w:sz w:val="18"/>
                <w:szCs w:val="18"/>
              </w:rPr>
              <w:t>。家庭欠债情况：</w:t>
            </w:r>
            <w:r>
              <w:rPr>
                <w:rFonts w:hint="eastAsia" w:ascii="宋体" w:hAnsi="宋体" w:eastAsia="宋体" w:cs="宋体"/>
                <w:color w:val="auto"/>
                <w:sz w:val="18"/>
                <w:szCs w:val="18"/>
                <w:u w:val="single"/>
              </w:rPr>
              <w:t xml:space="preserve">                            </w:t>
            </w:r>
            <w:r>
              <w:rPr>
                <w:rFonts w:hint="eastAsia" w:ascii="宋体" w:hAnsi="宋体" w:eastAsia="宋体" w:cs="宋体"/>
                <w:color w:val="auto"/>
                <w:sz w:val="18"/>
                <w:szCs w:val="18"/>
              </w:rPr>
              <w:t>。</w:t>
            </w:r>
          </w:p>
          <w:p w14:paraId="4ECA9E37">
            <w:pPr>
              <w:keepNext w:val="0"/>
              <w:keepLines w:val="0"/>
              <w:pageBreakBefore w:val="0"/>
              <w:kinsoku/>
              <w:wordWrap/>
              <w:overflowPunct/>
              <w:topLinePunct w:val="0"/>
              <w:autoSpaceDE/>
              <w:autoSpaceDN/>
              <w:bidi w:val="0"/>
              <w:spacing w:line="0" w:lineRule="atLeast"/>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其他情况：</w:t>
            </w:r>
            <w:r>
              <w:rPr>
                <w:rFonts w:hint="eastAsia" w:ascii="宋体" w:hAnsi="宋体" w:eastAsia="宋体" w:cs="宋体"/>
                <w:color w:val="auto"/>
                <w:sz w:val="18"/>
                <w:szCs w:val="18"/>
                <w:u w:val="single"/>
              </w:rPr>
              <w:t xml:space="preserve">                                                              </w:t>
            </w:r>
            <w:r>
              <w:rPr>
                <w:rFonts w:hint="eastAsia" w:ascii="宋体" w:hAnsi="宋体" w:eastAsia="宋体" w:cs="宋体"/>
                <w:color w:val="auto"/>
                <w:sz w:val="18"/>
                <w:szCs w:val="18"/>
              </w:rPr>
              <w:t>。</w:t>
            </w:r>
          </w:p>
        </w:tc>
      </w:tr>
      <w:tr w14:paraId="031EC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20" w:hRule="atLeast"/>
          <w:jc w:val="center"/>
        </w:trPr>
        <w:tc>
          <w:tcPr>
            <w:tcW w:w="380" w:type="dxa"/>
            <w:tcBorders>
              <w:bottom w:val="single" w:color="auto" w:sz="4" w:space="0"/>
            </w:tcBorders>
            <w:textDirection w:val="tbRlV"/>
            <w:vAlign w:val="center"/>
          </w:tcPr>
          <w:p w14:paraId="32940A0B">
            <w:pPr>
              <w:keepNext w:val="0"/>
              <w:keepLines w:val="0"/>
              <w:pageBreakBefore w:val="0"/>
              <w:kinsoku/>
              <w:wordWrap/>
              <w:overflowPunct/>
              <w:topLinePunct w:val="0"/>
              <w:autoSpaceDE/>
              <w:autoSpaceDN/>
              <w:bidi w:val="0"/>
              <w:spacing w:line="0" w:lineRule="atLeast"/>
              <w:ind w:left="113" w:right="113"/>
              <w:jc w:val="center"/>
              <w:textAlignment w:val="auto"/>
              <w:outlineLvl w:val="9"/>
              <w:rPr>
                <w:rFonts w:hint="eastAsia" w:ascii="宋体" w:hAnsi="宋体" w:eastAsia="宋体" w:cs="宋体"/>
                <w:b/>
                <w:bCs/>
                <w:color w:val="auto"/>
                <w:sz w:val="18"/>
                <w:szCs w:val="18"/>
              </w:rPr>
            </w:pPr>
            <w:r>
              <w:rPr>
                <w:rFonts w:hint="eastAsia" w:ascii="宋体" w:hAnsi="宋体" w:eastAsia="宋体" w:cs="宋体"/>
                <w:b/>
                <w:bCs/>
                <w:color w:val="auto"/>
                <w:sz w:val="18"/>
                <w:szCs w:val="18"/>
              </w:rPr>
              <w:t>个人承诺</w:t>
            </w:r>
          </w:p>
        </w:tc>
        <w:tc>
          <w:tcPr>
            <w:tcW w:w="3260" w:type="dxa"/>
            <w:gridSpan w:val="7"/>
            <w:tcBorders>
              <w:bottom w:val="single" w:color="auto" w:sz="4" w:space="0"/>
            </w:tcBorders>
            <w:vAlign w:val="top"/>
          </w:tcPr>
          <w:p w14:paraId="4FDC2652">
            <w:pPr>
              <w:keepNext w:val="0"/>
              <w:keepLines w:val="0"/>
              <w:pageBreakBefore w:val="0"/>
              <w:kinsoku/>
              <w:wordWrap/>
              <w:overflowPunct/>
              <w:topLinePunct w:val="0"/>
              <w:autoSpaceDE/>
              <w:autoSpaceDN/>
              <w:bidi w:val="0"/>
              <w:spacing w:line="0" w:lineRule="atLeast"/>
              <w:textAlignment w:val="auto"/>
              <w:outlineLvl w:val="9"/>
              <w:rPr>
                <w:rFonts w:hint="eastAsia" w:ascii="宋体" w:hAnsi="宋体" w:eastAsia="宋体" w:cs="宋体"/>
                <w:color w:val="auto"/>
                <w:sz w:val="18"/>
                <w:szCs w:val="18"/>
                <w:shd w:val="clear" w:color="auto" w:fill="FFFFFF"/>
              </w:rPr>
            </w:pPr>
            <w:r>
              <w:rPr>
                <w:rFonts w:hint="eastAsia" w:ascii="宋体" w:hAnsi="宋体" w:eastAsia="宋体" w:cs="宋体"/>
                <w:color w:val="auto"/>
                <w:sz w:val="18"/>
                <w:szCs w:val="18"/>
                <w:shd w:val="clear" w:color="auto" w:fill="FFFFFF"/>
              </w:rPr>
              <w:t>承诺内容：</w:t>
            </w:r>
          </w:p>
          <w:p w14:paraId="46C2F0B0">
            <w:pPr>
              <w:keepNext w:val="0"/>
              <w:keepLines w:val="0"/>
              <w:pageBreakBefore w:val="0"/>
              <w:kinsoku/>
              <w:wordWrap/>
              <w:overflowPunct/>
              <w:topLinePunct w:val="0"/>
              <w:autoSpaceDE/>
              <w:autoSpaceDN/>
              <w:bidi w:val="0"/>
              <w:spacing w:line="0" w:lineRule="atLeast"/>
              <w:textAlignment w:val="auto"/>
              <w:outlineLvl w:val="9"/>
              <w:rPr>
                <w:rFonts w:hint="eastAsia" w:ascii="宋体" w:hAnsi="宋体" w:eastAsia="宋体" w:cs="宋体"/>
                <w:color w:val="auto"/>
                <w:sz w:val="18"/>
                <w:szCs w:val="18"/>
                <w:shd w:val="clear" w:color="auto" w:fill="FFFFFF"/>
              </w:rPr>
            </w:pPr>
          </w:p>
          <w:p w14:paraId="53CB9AF0">
            <w:pPr>
              <w:keepNext w:val="0"/>
              <w:keepLines w:val="0"/>
              <w:pageBreakBefore w:val="0"/>
              <w:kinsoku/>
              <w:wordWrap/>
              <w:overflowPunct/>
              <w:topLinePunct w:val="0"/>
              <w:autoSpaceDE/>
              <w:autoSpaceDN/>
              <w:bidi w:val="0"/>
              <w:spacing w:line="0" w:lineRule="atLeast"/>
              <w:textAlignment w:val="auto"/>
              <w:outlineLvl w:val="9"/>
              <w:rPr>
                <w:rFonts w:hint="eastAsia" w:ascii="宋体" w:hAnsi="宋体" w:eastAsia="宋体" w:cs="宋体"/>
                <w:color w:val="auto"/>
                <w:sz w:val="18"/>
                <w:szCs w:val="18"/>
                <w:shd w:val="clear" w:color="auto" w:fill="FFFFFF"/>
              </w:rPr>
            </w:pPr>
          </w:p>
          <w:p w14:paraId="06DAD07C">
            <w:pPr>
              <w:keepNext w:val="0"/>
              <w:keepLines w:val="0"/>
              <w:pageBreakBefore w:val="0"/>
              <w:kinsoku/>
              <w:wordWrap/>
              <w:overflowPunct/>
              <w:topLinePunct w:val="0"/>
              <w:autoSpaceDE/>
              <w:autoSpaceDN/>
              <w:bidi w:val="0"/>
              <w:spacing w:line="0" w:lineRule="atLeast"/>
              <w:textAlignment w:val="auto"/>
              <w:outlineLvl w:val="9"/>
              <w:rPr>
                <w:rFonts w:hint="eastAsia" w:ascii="宋体" w:hAnsi="宋体" w:eastAsia="宋体" w:cs="宋体"/>
                <w:color w:val="auto"/>
                <w:sz w:val="18"/>
                <w:szCs w:val="18"/>
              </w:rPr>
            </w:pPr>
          </w:p>
        </w:tc>
        <w:tc>
          <w:tcPr>
            <w:tcW w:w="724" w:type="dxa"/>
            <w:gridSpan w:val="5"/>
            <w:tcBorders>
              <w:bottom w:val="single" w:color="auto" w:sz="4" w:space="0"/>
            </w:tcBorders>
            <w:vAlign w:val="center"/>
          </w:tcPr>
          <w:p w14:paraId="122B9FAF">
            <w:pPr>
              <w:keepNext w:val="0"/>
              <w:keepLines w:val="0"/>
              <w:pageBreakBefore w:val="0"/>
              <w:kinsoku/>
              <w:wordWrap/>
              <w:overflowPunct/>
              <w:topLinePunct w:val="0"/>
              <w:autoSpaceDE/>
              <w:autoSpaceDN/>
              <w:bidi w:val="0"/>
              <w:spacing w:line="0" w:lineRule="atLeast"/>
              <w:jc w:val="center"/>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学生本人(或监护人)签字</w:t>
            </w:r>
          </w:p>
        </w:tc>
        <w:tc>
          <w:tcPr>
            <w:tcW w:w="1305" w:type="dxa"/>
            <w:gridSpan w:val="4"/>
            <w:tcBorders>
              <w:bottom w:val="single" w:color="auto" w:sz="4" w:space="0"/>
            </w:tcBorders>
            <w:vAlign w:val="center"/>
          </w:tcPr>
          <w:p w14:paraId="5E396B57">
            <w:pPr>
              <w:keepNext w:val="0"/>
              <w:keepLines w:val="0"/>
              <w:pageBreakBefore w:val="0"/>
              <w:kinsoku/>
              <w:wordWrap/>
              <w:overflowPunct/>
              <w:topLinePunct w:val="0"/>
              <w:autoSpaceDE/>
              <w:autoSpaceDN/>
              <w:bidi w:val="0"/>
              <w:spacing w:line="0" w:lineRule="atLeast"/>
              <w:ind w:firstLine="900" w:firstLineChars="500"/>
              <w:textAlignment w:val="auto"/>
              <w:outlineLvl w:val="9"/>
              <w:rPr>
                <w:rFonts w:hint="eastAsia" w:ascii="宋体" w:hAnsi="宋体" w:eastAsia="宋体" w:cs="宋体"/>
                <w:color w:val="auto"/>
                <w:sz w:val="18"/>
                <w:szCs w:val="18"/>
              </w:rPr>
            </w:pPr>
          </w:p>
        </w:tc>
      </w:tr>
    </w:tbl>
    <w:p w14:paraId="7E911AF0">
      <w:pPr>
        <w:keepNext w:val="0"/>
        <w:keepLines w:val="0"/>
        <w:pageBreakBefore w:val="0"/>
        <w:kinsoku/>
        <w:wordWrap/>
        <w:overflowPunct/>
        <w:topLinePunct w:val="0"/>
        <w:autoSpaceDE/>
        <w:autoSpaceDN/>
        <w:bidi w:val="0"/>
        <w:adjustRightInd w:val="0"/>
        <w:snapToGrid w:val="0"/>
        <w:spacing w:line="0" w:lineRule="atLeast"/>
        <w:textAlignment w:val="auto"/>
        <w:outlineLvl w:val="9"/>
        <w:rPr>
          <w:rFonts w:hint="eastAsia" w:eastAsia="黑体"/>
          <w:b/>
          <w:bCs/>
          <w:color w:val="auto"/>
          <w:sz w:val="18"/>
          <w:szCs w:val="18"/>
        </w:rPr>
      </w:pPr>
    </w:p>
    <w:p w14:paraId="672997A4">
      <w:pPr>
        <w:keepNext w:val="0"/>
        <w:keepLines w:val="0"/>
        <w:pageBreakBefore w:val="0"/>
        <w:kinsoku/>
        <w:wordWrap/>
        <w:overflowPunct/>
        <w:topLinePunct w:val="0"/>
        <w:autoSpaceDE/>
        <w:autoSpaceDN/>
        <w:bidi w:val="0"/>
        <w:adjustRightInd w:val="0"/>
        <w:snapToGrid w:val="0"/>
        <w:spacing w:line="0" w:lineRule="atLeast"/>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注：1.本表用于家庭经济困难学生认定，可复印。</w:t>
      </w:r>
    </w:p>
    <w:p w14:paraId="58164977">
      <w:pPr>
        <w:keepNext w:val="0"/>
        <w:keepLines w:val="0"/>
        <w:pageBreakBefore w:val="0"/>
        <w:kinsoku/>
        <w:wordWrap/>
        <w:overflowPunct/>
        <w:topLinePunct w:val="0"/>
        <w:autoSpaceDE/>
        <w:autoSpaceDN/>
        <w:bidi w:val="0"/>
        <w:adjustRightInd w:val="0"/>
        <w:snapToGrid w:val="0"/>
        <w:spacing w:line="0" w:lineRule="atLeast"/>
        <w:ind w:left="360"/>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2.学校、院系、专业、年级、班级可根据实际情况选择性填写。</w:t>
      </w:r>
    </w:p>
    <w:p w14:paraId="29BD5297">
      <w:pPr>
        <w:keepNext w:val="0"/>
        <w:keepLines w:val="0"/>
        <w:pageBreakBefore w:val="0"/>
        <w:kinsoku/>
        <w:wordWrap/>
        <w:overflowPunct/>
        <w:topLinePunct w:val="0"/>
        <w:autoSpaceDE/>
        <w:autoSpaceDN/>
        <w:bidi w:val="0"/>
        <w:spacing w:line="0" w:lineRule="atLeast"/>
        <w:textAlignment w:val="auto"/>
        <w:outlineLvl w:val="9"/>
        <w:rPr>
          <w:rFonts w:hint="eastAsia" w:ascii="宋体" w:hAnsi="宋体" w:eastAsia="宋体" w:cs="宋体"/>
          <w:color w:val="auto"/>
          <w:sz w:val="18"/>
          <w:szCs w:val="18"/>
        </w:rPr>
      </w:pPr>
      <w:r>
        <w:rPr>
          <w:rFonts w:hint="eastAsia" w:ascii="宋体" w:hAnsi="宋体" w:eastAsia="宋体" w:cs="宋体"/>
          <w:color w:val="auto"/>
          <w:sz w:val="18"/>
          <w:szCs w:val="18"/>
        </w:rPr>
        <w:t xml:space="preserve">    3.承诺内容需本人手工填写“本人承诺以上所填写资料真实，如有虚假，愿承担相应责任”。 </w:t>
      </w:r>
    </w:p>
    <w:p w14:paraId="6D6D8695">
      <w:pPr>
        <w:ind w:firstLine="360" w:firstLineChars="200"/>
        <w:rPr>
          <w:rFonts w:hint="eastAsia" w:ascii="宋体" w:hAnsi="宋体" w:eastAsia="宋体" w:cs="宋体"/>
          <w:color w:val="auto"/>
          <w:sz w:val="18"/>
          <w:szCs w:val="18"/>
        </w:rPr>
      </w:pPr>
      <w:r>
        <w:rPr>
          <w:rFonts w:hint="eastAsia" w:ascii="宋体" w:hAnsi="宋体" w:eastAsia="宋体" w:cs="宋体"/>
          <w:color w:val="auto"/>
          <w:sz w:val="18"/>
          <w:szCs w:val="18"/>
        </w:rPr>
        <w:t>4.已通过建档立卡贫困户数据与学籍数据比对识别出的建档立卡贫困户家庭学生无需填写此表。</w:t>
      </w:r>
    </w:p>
    <w:p w14:paraId="0418FAC5">
      <w:pPr>
        <w:rPr>
          <w:rFonts w:hint="eastAsia" w:ascii="宋体" w:hAnsi="宋体" w:eastAsia="宋体" w:cs="宋体"/>
          <w:color w:val="auto"/>
          <w:sz w:val="18"/>
          <w:szCs w:val="18"/>
        </w:rPr>
      </w:pPr>
      <w:r>
        <w:rPr>
          <w:rFonts w:hint="eastAsia" w:ascii="宋体" w:hAnsi="宋体" w:eastAsia="宋体" w:cs="宋体"/>
          <w:color w:val="auto"/>
          <w:sz w:val="18"/>
          <w:szCs w:val="18"/>
        </w:rPr>
        <w:br w:type="page"/>
      </w:r>
    </w:p>
    <w:p w14:paraId="0FBD502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both"/>
        <w:textAlignment w:val="auto"/>
        <w:outlineLvl w:val="0"/>
        <w:rPr>
          <w:rFonts w:hint="eastAsia" w:ascii="方正书宋简体" w:hAnsi="方正书宋简体" w:eastAsia="方正书宋简体" w:cs="方正书宋简体"/>
          <w:b/>
          <w:bCs w:val="0"/>
          <w:color w:val="auto"/>
          <w:sz w:val="21"/>
          <w:szCs w:val="21"/>
          <w:lang w:val="en-US" w:eastAsia="zh-CN"/>
        </w:rPr>
      </w:pPr>
      <w:bookmarkStart w:id="36" w:name="_Toc7994"/>
      <w:bookmarkStart w:id="37" w:name="_Toc26677"/>
      <w:bookmarkStart w:id="38" w:name="_Toc27836"/>
      <w:bookmarkStart w:id="39" w:name="_Toc24037"/>
      <w:bookmarkStart w:id="40" w:name="_Toc29061"/>
      <w:bookmarkStart w:id="41" w:name="_Toc5350"/>
      <w:bookmarkStart w:id="42" w:name="_Toc9032"/>
      <w:r>
        <w:rPr>
          <w:rFonts w:hint="eastAsia" w:ascii="方正书宋简体" w:hAnsi="方正书宋简体" w:eastAsia="方正书宋简体" w:cs="方正书宋简体"/>
          <w:b/>
          <w:bCs w:val="0"/>
          <w:color w:val="auto"/>
          <w:sz w:val="21"/>
          <w:szCs w:val="21"/>
        </w:rPr>
        <w:t>附件</w:t>
      </w:r>
      <w:r>
        <w:rPr>
          <w:rFonts w:hint="eastAsia" w:ascii="方正书宋简体" w:hAnsi="方正书宋简体" w:eastAsia="方正书宋简体" w:cs="方正书宋简体"/>
          <w:b/>
          <w:bCs w:val="0"/>
          <w:color w:val="auto"/>
          <w:sz w:val="21"/>
          <w:szCs w:val="21"/>
          <w:lang w:val="en-US" w:eastAsia="zh-CN"/>
        </w:rPr>
        <w:t>2：</w:t>
      </w:r>
      <w:bookmarkEnd w:id="36"/>
      <w:bookmarkEnd w:id="37"/>
      <w:bookmarkEnd w:id="38"/>
      <w:bookmarkEnd w:id="39"/>
      <w:bookmarkEnd w:id="40"/>
      <w:bookmarkEnd w:id="41"/>
      <w:bookmarkEnd w:id="42"/>
    </w:p>
    <w:p w14:paraId="558D2BD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黑体" w:eastAsia="黑体"/>
          <w:color w:val="auto"/>
          <w:sz w:val="30"/>
        </w:rPr>
      </w:pPr>
      <w:r>
        <w:rPr>
          <w:rFonts w:hint="eastAsia" w:ascii="黑体" w:eastAsia="黑体"/>
          <w:color w:val="auto"/>
          <w:sz w:val="28"/>
          <w:szCs w:val="28"/>
        </w:rPr>
        <w:t>学院家庭经济困难学生认定工作量化评分</w:t>
      </w:r>
    </w:p>
    <w:p w14:paraId="65FEA51C">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outlineLvl w:val="9"/>
        <w:rPr>
          <w:rFonts w:hint="eastAsia" w:ascii="黑体" w:eastAsia="黑体"/>
          <w:color w:val="auto"/>
          <w:sz w:val="21"/>
          <w:szCs w:val="21"/>
          <w:lang w:val="en-US" w:eastAsia="zh-CN"/>
        </w:rPr>
      </w:pPr>
    </w:p>
    <w:tbl>
      <w:tblPr>
        <w:tblStyle w:val="13"/>
        <w:tblW w:w="56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019"/>
        <w:gridCol w:w="619"/>
        <w:gridCol w:w="2342"/>
        <w:gridCol w:w="564"/>
        <w:gridCol w:w="309"/>
        <w:gridCol w:w="355"/>
        <w:gridCol w:w="461"/>
      </w:tblGrid>
      <w:tr w14:paraId="714F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81" w:hRule="atLeast"/>
          <w:jc w:val="center"/>
        </w:trPr>
        <w:tc>
          <w:tcPr>
            <w:tcW w:w="1019" w:type="dxa"/>
            <w:tcBorders>
              <w:top w:val="single" w:color="auto" w:sz="4" w:space="0"/>
              <w:left w:val="single" w:color="auto" w:sz="4" w:space="0"/>
              <w:bottom w:val="single" w:color="auto" w:sz="4" w:space="0"/>
              <w:right w:val="single" w:color="auto" w:sz="4" w:space="0"/>
            </w:tcBorders>
            <w:vAlign w:val="center"/>
          </w:tcPr>
          <w:p w14:paraId="6679F818">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项目</w:t>
            </w:r>
          </w:p>
        </w:tc>
        <w:tc>
          <w:tcPr>
            <w:tcW w:w="2961" w:type="dxa"/>
            <w:gridSpan w:val="2"/>
            <w:tcBorders>
              <w:top w:val="single" w:color="auto" w:sz="4" w:space="0"/>
              <w:left w:val="single" w:color="auto" w:sz="4" w:space="0"/>
              <w:bottom w:val="single" w:color="auto" w:sz="4" w:space="0"/>
              <w:right w:val="single" w:color="auto" w:sz="4" w:space="0"/>
            </w:tcBorders>
            <w:vAlign w:val="center"/>
          </w:tcPr>
          <w:p w14:paraId="37C46FA1">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内  容</w:t>
            </w:r>
          </w:p>
        </w:tc>
        <w:tc>
          <w:tcPr>
            <w:tcW w:w="564" w:type="dxa"/>
            <w:tcBorders>
              <w:top w:val="single" w:color="auto" w:sz="4" w:space="0"/>
              <w:left w:val="single" w:color="auto" w:sz="4" w:space="0"/>
              <w:bottom w:val="single" w:color="auto" w:sz="4" w:space="0"/>
              <w:right w:val="single" w:color="auto" w:sz="4" w:space="0"/>
            </w:tcBorders>
            <w:vAlign w:val="center"/>
          </w:tcPr>
          <w:p w14:paraId="23399698">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量化分</w:t>
            </w:r>
          </w:p>
        </w:tc>
        <w:tc>
          <w:tcPr>
            <w:tcW w:w="309" w:type="dxa"/>
            <w:tcBorders>
              <w:top w:val="single" w:color="auto" w:sz="4" w:space="0"/>
              <w:left w:val="single" w:color="auto" w:sz="4" w:space="0"/>
              <w:bottom w:val="single" w:color="auto" w:sz="4" w:space="0"/>
              <w:right w:val="single" w:color="auto" w:sz="4" w:space="0"/>
            </w:tcBorders>
            <w:vAlign w:val="center"/>
          </w:tcPr>
          <w:p w14:paraId="1FA555D4">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自评分</w:t>
            </w:r>
          </w:p>
        </w:tc>
        <w:tc>
          <w:tcPr>
            <w:tcW w:w="355" w:type="dxa"/>
            <w:tcBorders>
              <w:top w:val="single" w:color="auto" w:sz="4" w:space="0"/>
              <w:left w:val="single" w:color="auto" w:sz="4" w:space="0"/>
              <w:bottom w:val="single" w:color="auto" w:sz="4" w:space="0"/>
              <w:right w:val="single" w:color="auto" w:sz="4" w:space="0"/>
            </w:tcBorders>
            <w:vAlign w:val="center"/>
          </w:tcPr>
          <w:p w14:paraId="429A3A70">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班级</w:t>
            </w:r>
          </w:p>
          <w:p w14:paraId="15BF2B20">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评分</w:t>
            </w:r>
          </w:p>
        </w:tc>
        <w:tc>
          <w:tcPr>
            <w:tcW w:w="461" w:type="dxa"/>
            <w:tcBorders>
              <w:top w:val="single" w:color="auto" w:sz="4" w:space="0"/>
              <w:left w:val="single" w:color="auto" w:sz="4" w:space="0"/>
              <w:bottom w:val="single" w:color="auto" w:sz="4" w:space="0"/>
              <w:right w:val="single" w:color="auto" w:sz="4" w:space="0"/>
            </w:tcBorders>
            <w:vAlign w:val="center"/>
          </w:tcPr>
          <w:p w14:paraId="12A60E51">
            <w:pPr>
              <w:keepNext w:val="0"/>
              <w:keepLines w:val="0"/>
              <w:pageBreakBefore w:val="0"/>
              <w:widowControl/>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辅导员</w:t>
            </w:r>
          </w:p>
          <w:p w14:paraId="3937DBDF">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评分</w:t>
            </w:r>
          </w:p>
        </w:tc>
      </w:tr>
      <w:tr w14:paraId="1AFA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2" w:hRule="atLeast"/>
          <w:jc w:val="center"/>
        </w:trPr>
        <w:tc>
          <w:tcPr>
            <w:tcW w:w="1019" w:type="dxa"/>
            <w:tcBorders>
              <w:top w:val="single" w:color="auto" w:sz="4" w:space="0"/>
              <w:left w:val="single" w:color="auto" w:sz="4" w:space="0"/>
              <w:bottom w:val="single" w:color="auto" w:sz="4" w:space="0"/>
              <w:right w:val="single" w:color="auto" w:sz="4" w:space="0"/>
            </w:tcBorders>
            <w:vAlign w:val="center"/>
          </w:tcPr>
          <w:p w14:paraId="3D45F9DF">
            <w:pPr>
              <w:keepNext w:val="0"/>
              <w:keepLines w:val="0"/>
              <w:pageBreakBefore w:val="0"/>
              <w:kinsoku/>
              <w:wordWrap/>
              <w:overflowPunct/>
              <w:topLinePunct w:val="0"/>
              <w:autoSpaceDE/>
              <w:autoSpaceDN/>
              <w:bidi w:val="0"/>
              <w:adjustRightInd w:val="0"/>
              <w:snapToGrid w:val="0"/>
              <w:textAlignment w:val="auto"/>
              <w:rPr>
                <w:rFonts w:hint="eastAsia" w:ascii="宋体" w:hAnsi="宋体" w:eastAsia="宋体"/>
                <w:color w:val="auto"/>
                <w:sz w:val="18"/>
                <w:szCs w:val="18"/>
                <w:lang w:val="en-US" w:eastAsia="zh-CN"/>
              </w:rPr>
            </w:pPr>
            <w:r>
              <w:rPr>
                <w:rFonts w:hint="eastAsia" w:ascii="宋体" w:hAnsi="宋体"/>
                <w:color w:val="auto"/>
                <w:sz w:val="18"/>
                <w:szCs w:val="18"/>
                <w:lang w:val="en-US" w:eastAsia="zh-CN"/>
              </w:rPr>
              <w:t>1、《扶贫手册》</w:t>
            </w:r>
          </w:p>
        </w:tc>
        <w:tc>
          <w:tcPr>
            <w:tcW w:w="2961" w:type="dxa"/>
            <w:gridSpan w:val="2"/>
            <w:tcBorders>
              <w:top w:val="single" w:color="auto" w:sz="4" w:space="0"/>
              <w:left w:val="single" w:color="auto" w:sz="4" w:space="0"/>
              <w:bottom w:val="single" w:color="auto" w:sz="4" w:space="0"/>
              <w:right w:val="single" w:color="auto" w:sz="4" w:space="0"/>
            </w:tcBorders>
            <w:vAlign w:val="center"/>
          </w:tcPr>
          <w:p w14:paraId="33FFE166">
            <w:pPr>
              <w:keepNext w:val="0"/>
              <w:keepLines w:val="0"/>
              <w:pageBreakBefore w:val="0"/>
              <w:kinsoku/>
              <w:wordWrap/>
              <w:overflowPunct/>
              <w:topLinePunct w:val="0"/>
              <w:autoSpaceDE/>
              <w:autoSpaceDN/>
              <w:bidi w:val="0"/>
              <w:adjustRightInd w:val="0"/>
              <w:snapToGrid w:val="0"/>
              <w:textAlignment w:val="auto"/>
              <w:rPr>
                <w:rFonts w:hint="eastAsia" w:ascii="宋体" w:hAnsi="宋体"/>
                <w:color w:val="auto"/>
                <w:sz w:val="18"/>
                <w:szCs w:val="18"/>
              </w:rPr>
            </w:pPr>
            <w:r>
              <w:rPr>
                <w:rFonts w:hint="eastAsia" w:ascii="宋体" w:hAnsi="宋体"/>
                <w:color w:val="auto"/>
                <w:sz w:val="18"/>
                <w:szCs w:val="18"/>
                <w:lang w:val="en-US" w:eastAsia="zh-CN"/>
              </w:rPr>
              <w:t>建档立卡、</w:t>
            </w:r>
            <w:r>
              <w:rPr>
                <w:rFonts w:hint="eastAsia" w:ascii="宋体" w:hAnsi="宋体" w:eastAsia="宋体"/>
                <w:color w:val="auto"/>
                <w:sz w:val="18"/>
                <w:szCs w:val="18"/>
                <w:lang w:val="en-US" w:eastAsia="zh-CN"/>
              </w:rPr>
              <w:t>需提供《扶贫手册》复印件</w:t>
            </w:r>
          </w:p>
        </w:tc>
        <w:tc>
          <w:tcPr>
            <w:tcW w:w="564" w:type="dxa"/>
            <w:tcBorders>
              <w:top w:val="single" w:color="auto" w:sz="4" w:space="0"/>
              <w:left w:val="single" w:color="auto" w:sz="4" w:space="0"/>
              <w:bottom w:val="single" w:color="auto" w:sz="4" w:space="0"/>
              <w:right w:val="single" w:color="auto" w:sz="4" w:space="0"/>
            </w:tcBorders>
            <w:vAlign w:val="center"/>
          </w:tcPr>
          <w:p w14:paraId="09C91678">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olor w:val="auto"/>
                <w:sz w:val="18"/>
                <w:szCs w:val="18"/>
                <w:lang w:eastAsia="zh-CN"/>
              </w:rPr>
            </w:pPr>
            <w:r>
              <w:rPr>
                <w:rFonts w:hint="eastAsia" w:ascii="宋体" w:hAnsi="宋体"/>
                <w:color w:val="auto"/>
                <w:sz w:val="18"/>
                <w:szCs w:val="18"/>
                <w:lang w:eastAsia="zh-CN"/>
              </w:rPr>
              <w:t>有</w:t>
            </w:r>
            <w:r>
              <w:rPr>
                <w:rFonts w:hint="eastAsia" w:ascii="宋体" w:hAnsi="宋体"/>
                <w:color w:val="auto"/>
                <w:sz w:val="18"/>
                <w:szCs w:val="18"/>
                <w:lang w:val="en-US" w:eastAsia="zh-CN"/>
              </w:rPr>
              <w:t>/否</w:t>
            </w:r>
          </w:p>
        </w:tc>
        <w:tc>
          <w:tcPr>
            <w:tcW w:w="309" w:type="dxa"/>
            <w:tcBorders>
              <w:top w:val="single" w:color="auto" w:sz="4" w:space="0"/>
              <w:left w:val="single" w:color="auto" w:sz="4" w:space="0"/>
              <w:bottom w:val="single" w:color="auto" w:sz="4" w:space="0"/>
              <w:right w:val="single" w:color="auto" w:sz="4" w:space="0"/>
            </w:tcBorders>
            <w:vAlign w:val="center"/>
          </w:tcPr>
          <w:p w14:paraId="1B448F04">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olor w:val="auto"/>
                <w:sz w:val="18"/>
                <w:szCs w:val="18"/>
                <w:lang w:val="en-US" w:eastAsia="zh-CN"/>
              </w:rPr>
            </w:pPr>
            <w:r>
              <w:rPr>
                <w:rFonts w:hint="eastAsia" w:ascii="宋体" w:hAnsi="宋体"/>
                <w:color w:val="auto"/>
                <w:sz w:val="18"/>
                <w:szCs w:val="18"/>
                <w:lang w:val="en-US" w:eastAsia="zh-CN"/>
              </w:rPr>
              <w:t>/</w:t>
            </w:r>
          </w:p>
        </w:tc>
        <w:tc>
          <w:tcPr>
            <w:tcW w:w="355" w:type="dxa"/>
            <w:tcBorders>
              <w:top w:val="single" w:color="auto" w:sz="4" w:space="0"/>
              <w:left w:val="single" w:color="auto" w:sz="4" w:space="0"/>
              <w:bottom w:val="single" w:color="auto" w:sz="4" w:space="0"/>
              <w:right w:val="single" w:color="auto" w:sz="4" w:space="0"/>
            </w:tcBorders>
            <w:vAlign w:val="center"/>
          </w:tcPr>
          <w:p w14:paraId="7C4CF9EA">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olor w:val="auto"/>
                <w:sz w:val="18"/>
                <w:szCs w:val="18"/>
                <w:lang w:val="en-US" w:eastAsia="zh-CN"/>
              </w:rPr>
            </w:pPr>
            <w:r>
              <w:rPr>
                <w:rFonts w:hint="eastAsia" w:ascii="宋体" w:hAnsi="宋体"/>
                <w:color w:val="auto"/>
                <w:sz w:val="18"/>
                <w:szCs w:val="18"/>
                <w:lang w:val="en-US" w:eastAsia="zh-CN"/>
              </w:rPr>
              <w:t>/</w:t>
            </w:r>
          </w:p>
        </w:tc>
        <w:tc>
          <w:tcPr>
            <w:tcW w:w="461" w:type="dxa"/>
            <w:tcBorders>
              <w:top w:val="single" w:color="auto" w:sz="4" w:space="0"/>
              <w:left w:val="single" w:color="auto" w:sz="4" w:space="0"/>
              <w:bottom w:val="single" w:color="auto" w:sz="4" w:space="0"/>
              <w:right w:val="single" w:color="auto" w:sz="4" w:space="0"/>
            </w:tcBorders>
            <w:vAlign w:val="center"/>
          </w:tcPr>
          <w:p w14:paraId="0D42446F">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olor w:val="auto"/>
                <w:sz w:val="18"/>
                <w:szCs w:val="18"/>
                <w:lang w:val="en-US" w:eastAsia="zh-CN"/>
              </w:rPr>
            </w:pPr>
            <w:r>
              <w:rPr>
                <w:rFonts w:hint="eastAsia" w:ascii="宋体" w:hAnsi="宋体"/>
                <w:color w:val="auto"/>
                <w:sz w:val="18"/>
                <w:szCs w:val="18"/>
                <w:lang w:val="en-US" w:eastAsia="zh-CN"/>
              </w:rPr>
              <w:t>/</w:t>
            </w:r>
          </w:p>
        </w:tc>
      </w:tr>
      <w:tr w14:paraId="4F08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1" w:hRule="atLeast"/>
          <w:jc w:val="center"/>
        </w:trPr>
        <w:tc>
          <w:tcPr>
            <w:tcW w:w="1019" w:type="dxa"/>
            <w:tcBorders>
              <w:top w:val="single" w:color="auto" w:sz="4" w:space="0"/>
              <w:left w:val="single" w:color="auto" w:sz="4" w:space="0"/>
              <w:bottom w:val="single" w:color="auto" w:sz="4" w:space="0"/>
              <w:right w:val="single" w:color="auto" w:sz="4" w:space="0"/>
            </w:tcBorders>
            <w:vAlign w:val="center"/>
          </w:tcPr>
          <w:p w14:paraId="1F2924EF">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lang w:val="en-US" w:eastAsia="zh-CN"/>
              </w:rPr>
              <w:t>2</w:t>
            </w:r>
            <w:r>
              <w:rPr>
                <w:rFonts w:hint="eastAsia" w:ascii="宋体" w:hAnsi="宋体"/>
                <w:color w:val="auto"/>
                <w:sz w:val="18"/>
                <w:szCs w:val="18"/>
              </w:rPr>
              <w:t>、孤儿</w:t>
            </w:r>
          </w:p>
        </w:tc>
        <w:tc>
          <w:tcPr>
            <w:tcW w:w="2961" w:type="dxa"/>
            <w:gridSpan w:val="2"/>
            <w:tcBorders>
              <w:top w:val="single" w:color="auto" w:sz="4" w:space="0"/>
              <w:left w:val="single" w:color="auto" w:sz="4" w:space="0"/>
              <w:bottom w:val="single" w:color="auto" w:sz="4" w:space="0"/>
              <w:right w:val="single" w:color="auto" w:sz="4" w:space="0"/>
            </w:tcBorders>
            <w:vAlign w:val="center"/>
          </w:tcPr>
          <w:p w14:paraId="5E4D5619">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直接认定特困</w:t>
            </w:r>
          </w:p>
        </w:tc>
        <w:tc>
          <w:tcPr>
            <w:tcW w:w="564" w:type="dxa"/>
            <w:tcBorders>
              <w:top w:val="single" w:color="auto" w:sz="4" w:space="0"/>
              <w:left w:val="single" w:color="auto" w:sz="4" w:space="0"/>
              <w:bottom w:val="single" w:color="auto" w:sz="4" w:space="0"/>
              <w:right w:val="single" w:color="auto" w:sz="4" w:space="0"/>
            </w:tcBorders>
            <w:vAlign w:val="center"/>
          </w:tcPr>
          <w:p w14:paraId="58E25A0B">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100</w:t>
            </w:r>
          </w:p>
        </w:tc>
        <w:tc>
          <w:tcPr>
            <w:tcW w:w="309" w:type="dxa"/>
            <w:tcBorders>
              <w:top w:val="single" w:color="auto" w:sz="4" w:space="0"/>
              <w:left w:val="single" w:color="auto" w:sz="4" w:space="0"/>
              <w:bottom w:val="single" w:color="auto" w:sz="4" w:space="0"/>
              <w:right w:val="single" w:color="auto" w:sz="4" w:space="0"/>
            </w:tcBorders>
            <w:vAlign w:val="center"/>
          </w:tcPr>
          <w:p w14:paraId="213EA43D">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0AE1D122">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05E9C5A8">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0D65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1019" w:type="dxa"/>
            <w:tcBorders>
              <w:top w:val="single" w:color="auto" w:sz="4" w:space="0"/>
              <w:left w:val="single" w:color="auto" w:sz="4" w:space="0"/>
              <w:bottom w:val="single" w:color="auto" w:sz="4" w:space="0"/>
              <w:right w:val="single" w:color="auto" w:sz="4" w:space="0"/>
            </w:tcBorders>
            <w:vAlign w:val="center"/>
          </w:tcPr>
          <w:p w14:paraId="518B2581">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lang w:val="en-US" w:eastAsia="zh-CN"/>
              </w:rPr>
              <w:t>3</w:t>
            </w:r>
            <w:r>
              <w:rPr>
                <w:rFonts w:hint="eastAsia" w:ascii="宋体" w:hAnsi="宋体"/>
                <w:color w:val="auto"/>
                <w:sz w:val="18"/>
                <w:szCs w:val="18"/>
              </w:rPr>
              <w:t>、单亲</w:t>
            </w:r>
            <w:r>
              <w:rPr>
                <w:rFonts w:hint="eastAsia" w:ascii="宋体" w:hAnsi="宋体"/>
                <w:color w:val="auto"/>
                <w:sz w:val="18"/>
                <w:szCs w:val="18"/>
                <w:lang w:eastAsia="zh-CN"/>
              </w:rPr>
              <w:t>（一方过世）</w:t>
            </w:r>
          </w:p>
        </w:tc>
        <w:tc>
          <w:tcPr>
            <w:tcW w:w="2961" w:type="dxa"/>
            <w:gridSpan w:val="2"/>
            <w:tcBorders>
              <w:top w:val="single" w:color="auto" w:sz="4" w:space="0"/>
              <w:left w:val="single" w:color="auto" w:sz="4" w:space="0"/>
              <w:bottom w:val="single" w:color="auto" w:sz="4" w:space="0"/>
              <w:right w:val="single" w:color="auto" w:sz="4" w:space="0"/>
            </w:tcBorders>
            <w:vAlign w:val="center"/>
          </w:tcPr>
          <w:p w14:paraId="565619B6">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父/母：无固定工作（单亲，有一子女读高中以上及大学50分，二子女读高中以上及大学70分或单亲60岁以上70分）</w:t>
            </w:r>
          </w:p>
        </w:tc>
        <w:tc>
          <w:tcPr>
            <w:tcW w:w="564" w:type="dxa"/>
            <w:tcBorders>
              <w:top w:val="single" w:color="auto" w:sz="4" w:space="0"/>
              <w:left w:val="single" w:color="auto" w:sz="4" w:space="0"/>
              <w:bottom w:val="single" w:color="auto" w:sz="4" w:space="0"/>
              <w:right w:val="single" w:color="auto" w:sz="4" w:space="0"/>
            </w:tcBorders>
            <w:vAlign w:val="center"/>
          </w:tcPr>
          <w:p w14:paraId="1FDE533E">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70/50</w:t>
            </w:r>
          </w:p>
        </w:tc>
        <w:tc>
          <w:tcPr>
            <w:tcW w:w="309" w:type="dxa"/>
            <w:tcBorders>
              <w:top w:val="single" w:color="auto" w:sz="4" w:space="0"/>
              <w:left w:val="single" w:color="auto" w:sz="4" w:space="0"/>
              <w:bottom w:val="single" w:color="auto" w:sz="4" w:space="0"/>
              <w:right w:val="single" w:color="auto" w:sz="4" w:space="0"/>
            </w:tcBorders>
            <w:vAlign w:val="center"/>
          </w:tcPr>
          <w:p w14:paraId="60B78F34">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6E6AE7F7">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730A43F4">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6641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7" w:hRule="atLeast"/>
          <w:jc w:val="center"/>
        </w:trPr>
        <w:tc>
          <w:tcPr>
            <w:tcW w:w="1019" w:type="dxa"/>
            <w:tcBorders>
              <w:top w:val="single" w:color="auto" w:sz="4" w:space="0"/>
              <w:left w:val="single" w:color="auto" w:sz="4" w:space="0"/>
              <w:bottom w:val="single" w:color="auto" w:sz="4" w:space="0"/>
              <w:right w:val="single" w:color="auto" w:sz="4" w:space="0"/>
            </w:tcBorders>
            <w:vAlign w:val="center"/>
          </w:tcPr>
          <w:p w14:paraId="66BE74A7">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lang w:val="en-US" w:eastAsia="zh-CN"/>
              </w:rPr>
              <w:t>4</w:t>
            </w:r>
            <w:r>
              <w:rPr>
                <w:rFonts w:hint="eastAsia" w:ascii="宋体" w:hAnsi="宋体"/>
                <w:color w:val="auto"/>
                <w:sz w:val="18"/>
                <w:szCs w:val="18"/>
              </w:rPr>
              <w:t>、烈士子女</w:t>
            </w:r>
          </w:p>
        </w:tc>
        <w:tc>
          <w:tcPr>
            <w:tcW w:w="2961" w:type="dxa"/>
            <w:gridSpan w:val="2"/>
            <w:tcBorders>
              <w:top w:val="single" w:color="auto" w:sz="4" w:space="0"/>
              <w:left w:val="single" w:color="auto" w:sz="4" w:space="0"/>
              <w:bottom w:val="single" w:color="auto" w:sz="4" w:space="0"/>
              <w:right w:val="single" w:color="auto" w:sz="4" w:space="0"/>
            </w:tcBorders>
            <w:vAlign w:val="center"/>
          </w:tcPr>
          <w:p w14:paraId="4435BEF8">
            <w:pPr>
              <w:keepNext w:val="0"/>
              <w:keepLines w:val="0"/>
              <w:pageBreakBefore w:val="0"/>
              <w:kinsoku/>
              <w:wordWrap/>
              <w:overflowPunct/>
              <w:topLinePunct w:val="0"/>
              <w:autoSpaceDE/>
              <w:autoSpaceDN/>
              <w:bidi w:val="0"/>
              <w:adjustRightInd w:val="0"/>
              <w:snapToGrid w:val="0"/>
              <w:textAlignment w:val="auto"/>
              <w:rPr>
                <w:rFonts w:hint="eastAsia" w:ascii="宋体" w:hAnsi="宋体" w:eastAsia="宋体"/>
                <w:color w:val="auto"/>
                <w:sz w:val="18"/>
                <w:szCs w:val="18"/>
                <w:lang w:eastAsia="zh-CN"/>
              </w:rPr>
            </w:pPr>
          </w:p>
        </w:tc>
        <w:tc>
          <w:tcPr>
            <w:tcW w:w="564" w:type="dxa"/>
            <w:tcBorders>
              <w:top w:val="single" w:color="auto" w:sz="4" w:space="0"/>
              <w:left w:val="single" w:color="auto" w:sz="4" w:space="0"/>
              <w:bottom w:val="single" w:color="auto" w:sz="4" w:space="0"/>
              <w:right w:val="single" w:color="auto" w:sz="4" w:space="0"/>
            </w:tcBorders>
            <w:vAlign w:val="center"/>
          </w:tcPr>
          <w:p w14:paraId="77EC8F7F">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olor w:val="auto"/>
                <w:sz w:val="18"/>
                <w:szCs w:val="18"/>
                <w:lang w:eastAsia="zh-CN"/>
              </w:rPr>
            </w:pPr>
            <w:r>
              <w:rPr>
                <w:rFonts w:hint="eastAsia" w:ascii="宋体" w:hAnsi="宋体"/>
                <w:color w:val="auto"/>
                <w:sz w:val="18"/>
                <w:szCs w:val="18"/>
                <w:lang w:val="en-US" w:eastAsia="zh-CN"/>
              </w:rPr>
              <w:t>100</w:t>
            </w:r>
          </w:p>
        </w:tc>
        <w:tc>
          <w:tcPr>
            <w:tcW w:w="309" w:type="dxa"/>
            <w:tcBorders>
              <w:top w:val="single" w:color="auto" w:sz="4" w:space="0"/>
              <w:left w:val="single" w:color="auto" w:sz="4" w:space="0"/>
              <w:bottom w:val="single" w:color="auto" w:sz="4" w:space="0"/>
              <w:right w:val="single" w:color="auto" w:sz="4" w:space="0"/>
            </w:tcBorders>
            <w:vAlign w:val="center"/>
          </w:tcPr>
          <w:p w14:paraId="16AF5081">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35BDD934">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34CF6A7F">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0E7C6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6" w:hRule="atLeast"/>
          <w:jc w:val="center"/>
        </w:trPr>
        <w:tc>
          <w:tcPr>
            <w:tcW w:w="1019" w:type="dxa"/>
            <w:vMerge w:val="restart"/>
            <w:tcBorders>
              <w:top w:val="single" w:color="auto" w:sz="4" w:space="0"/>
              <w:left w:val="single" w:color="auto" w:sz="4" w:space="0"/>
              <w:bottom w:val="single" w:color="auto" w:sz="4" w:space="0"/>
              <w:right w:val="single" w:color="auto" w:sz="4" w:space="0"/>
            </w:tcBorders>
            <w:vAlign w:val="center"/>
          </w:tcPr>
          <w:p w14:paraId="5F018E3F">
            <w:pPr>
              <w:keepNext w:val="0"/>
              <w:keepLines w:val="0"/>
              <w:pageBreakBefore w:val="0"/>
              <w:kinsoku/>
              <w:wordWrap/>
              <w:overflowPunct/>
              <w:topLinePunct w:val="0"/>
              <w:autoSpaceDE/>
              <w:autoSpaceDN/>
              <w:bidi w:val="0"/>
              <w:adjustRightInd w:val="0"/>
              <w:snapToGrid w:val="0"/>
              <w:ind w:left="315" w:hanging="270" w:hangingChars="150"/>
              <w:textAlignment w:val="auto"/>
              <w:rPr>
                <w:rFonts w:ascii="宋体" w:hAnsi="宋体"/>
                <w:color w:val="auto"/>
                <w:sz w:val="18"/>
                <w:szCs w:val="18"/>
              </w:rPr>
            </w:pPr>
            <w:r>
              <w:rPr>
                <w:rFonts w:hint="eastAsia" w:ascii="宋体" w:hAnsi="宋体"/>
                <w:color w:val="auto"/>
                <w:sz w:val="18"/>
                <w:szCs w:val="18"/>
                <w:lang w:val="en-US" w:eastAsia="zh-CN"/>
              </w:rPr>
              <w:t>5</w:t>
            </w:r>
            <w:r>
              <w:rPr>
                <w:rFonts w:hint="eastAsia" w:ascii="宋体" w:hAnsi="宋体"/>
                <w:color w:val="auto"/>
                <w:sz w:val="18"/>
                <w:szCs w:val="18"/>
              </w:rPr>
              <w:t>、家庭成员情况</w:t>
            </w:r>
          </w:p>
        </w:tc>
        <w:tc>
          <w:tcPr>
            <w:tcW w:w="619" w:type="dxa"/>
            <w:vMerge w:val="restart"/>
            <w:tcBorders>
              <w:top w:val="single" w:color="auto" w:sz="4" w:space="0"/>
              <w:left w:val="single" w:color="auto" w:sz="4" w:space="0"/>
              <w:bottom w:val="single" w:color="auto" w:sz="4" w:space="0"/>
              <w:right w:val="single" w:color="auto" w:sz="4" w:space="0"/>
            </w:tcBorders>
            <w:vAlign w:val="center"/>
          </w:tcPr>
          <w:p w14:paraId="6A82B2A2">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家庭成员长期患重病情况</w:t>
            </w:r>
          </w:p>
        </w:tc>
        <w:tc>
          <w:tcPr>
            <w:tcW w:w="2342" w:type="dxa"/>
            <w:tcBorders>
              <w:top w:val="single" w:color="auto" w:sz="4" w:space="0"/>
              <w:left w:val="single" w:color="auto" w:sz="4" w:space="0"/>
              <w:bottom w:val="single" w:color="auto" w:sz="4" w:space="0"/>
              <w:right w:val="single" w:color="auto" w:sz="4" w:space="0"/>
            </w:tcBorders>
            <w:vAlign w:val="center"/>
          </w:tcPr>
          <w:p w14:paraId="6E556201">
            <w:pPr>
              <w:keepNext w:val="0"/>
              <w:keepLines w:val="0"/>
              <w:pageBreakBefore w:val="0"/>
              <w:kinsoku/>
              <w:wordWrap/>
              <w:overflowPunct/>
              <w:topLinePunct w:val="0"/>
              <w:autoSpaceDE/>
              <w:autoSpaceDN/>
              <w:bidi w:val="0"/>
              <w:adjustRightInd w:val="0"/>
              <w:snapToGrid w:val="0"/>
              <w:textAlignment w:val="auto"/>
              <w:rPr>
                <w:rFonts w:hint="eastAsia" w:ascii="宋体" w:hAnsi="宋体" w:eastAsia="宋体"/>
                <w:color w:val="auto"/>
                <w:sz w:val="18"/>
                <w:szCs w:val="18"/>
                <w:lang w:val="en-US" w:eastAsia="zh-CN"/>
              </w:rPr>
            </w:pPr>
            <w:r>
              <w:rPr>
                <w:rFonts w:hint="eastAsia" w:ascii="宋体" w:hAnsi="宋体"/>
                <w:color w:val="auto"/>
                <w:sz w:val="18"/>
                <w:szCs w:val="18"/>
              </w:rPr>
              <w:t>直系亲属（父、母、兄弟姐妹）身患重、特大疾病，需长期治疗（癌症、肾衰、肝硬化、精神病）/先天性聋哑、强直性脊柱炎</w:t>
            </w:r>
            <w:r>
              <w:rPr>
                <w:rFonts w:hint="eastAsia" w:ascii="宋体" w:hAnsi="宋体"/>
                <w:color w:val="auto"/>
                <w:sz w:val="18"/>
                <w:szCs w:val="18"/>
                <w:lang w:val="en-US" w:eastAsia="zh-CN"/>
              </w:rPr>
              <w:t>等</w:t>
            </w:r>
          </w:p>
        </w:tc>
        <w:tc>
          <w:tcPr>
            <w:tcW w:w="564" w:type="dxa"/>
            <w:tcBorders>
              <w:top w:val="single" w:color="auto" w:sz="4" w:space="0"/>
              <w:left w:val="single" w:color="auto" w:sz="4" w:space="0"/>
              <w:bottom w:val="single" w:color="auto" w:sz="4" w:space="0"/>
              <w:right w:val="single" w:color="auto" w:sz="4" w:space="0"/>
            </w:tcBorders>
            <w:vAlign w:val="center"/>
          </w:tcPr>
          <w:p w14:paraId="744C8F0E">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50/30</w:t>
            </w:r>
          </w:p>
        </w:tc>
        <w:tc>
          <w:tcPr>
            <w:tcW w:w="309" w:type="dxa"/>
            <w:tcBorders>
              <w:top w:val="single" w:color="auto" w:sz="4" w:space="0"/>
              <w:left w:val="single" w:color="auto" w:sz="4" w:space="0"/>
              <w:bottom w:val="single" w:color="auto" w:sz="4" w:space="0"/>
              <w:right w:val="single" w:color="auto" w:sz="4" w:space="0"/>
            </w:tcBorders>
            <w:vAlign w:val="center"/>
          </w:tcPr>
          <w:p w14:paraId="0573535A">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2D1944C0">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78CF6A12">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6EAF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0" w:hRule="atLeast"/>
          <w:jc w:val="center"/>
        </w:trPr>
        <w:tc>
          <w:tcPr>
            <w:tcW w:w="1019" w:type="dxa"/>
            <w:vMerge w:val="continue"/>
            <w:tcBorders>
              <w:top w:val="single" w:color="auto" w:sz="4" w:space="0"/>
              <w:left w:val="single" w:color="auto" w:sz="4" w:space="0"/>
              <w:bottom w:val="single" w:color="auto" w:sz="4" w:space="0"/>
              <w:right w:val="single" w:color="auto" w:sz="4" w:space="0"/>
            </w:tcBorders>
            <w:vAlign w:val="center"/>
          </w:tcPr>
          <w:p w14:paraId="1DC4699E">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color w:val="auto"/>
                <w:sz w:val="18"/>
                <w:szCs w:val="18"/>
              </w:rPr>
            </w:pPr>
          </w:p>
        </w:tc>
        <w:tc>
          <w:tcPr>
            <w:tcW w:w="619" w:type="dxa"/>
            <w:vMerge w:val="continue"/>
            <w:tcBorders>
              <w:top w:val="single" w:color="auto" w:sz="4" w:space="0"/>
              <w:left w:val="single" w:color="auto" w:sz="4" w:space="0"/>
              <w:bottom w:val="single" w:color="auto" w:sz="4" w:space="0"/>
              <w:right w:val="single" w:color="auto" w:sz="4" w:space="0"/>
            </w:tcBorders>
            <w:vAlign w:val="center"/>
          </w:tcPr>
          <w:p w14:paraId="211D5AAF">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color w:val="auto"/>
                <w:sz w:val="18"/>
                <w:szCs w:val="18"/>
              </w:rPr>
            </w:pPr>
          </w:p>
        </w:tc>
        <w:tc>
          <w:tcPr>
            <w:tcW w:w="2342" w:type="dxa"/>
            <w:tcBorders>
              <w:top w:val="single" w:color="auto" w:sz="4" w:space="0"/>
              <w:left w:val="single" w:color="auto" w:sz="4" w:space="0"/>
              <w:bottom w:val="single" w:color="auto" w:sz="4" w:space="0"/>
              <w:right w:val="single" w:color="auto" w:sz="4" w:space="0"/>
            </w:tcBorders>
            <w:vAlign w:val="center"/>
          </w:tcPr>
          <w:p w14:paraId="32307949">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其他亲属(爷爷奶奶外公外婆)患病（须有病历证明）</w:t>
            </w:r>
          </w:p>
        </w:tc>
        <w:tc>
          <w:tcPr>
            <w:tcW w:w="564" w:type="dxa"/>
            <w:tcBorders>
              <w:top w:val="single" w:color="auto" w:sz="4" w:space="0"/>
              <w:left w:val="single" w:color="auto" w:sz="4" w:space="0"/>
              <w:bottom w:val="single" w:color="auto" w:sz="4" w:space="0"/>
              <w:right w:val="single" w:color="auto" w:sz="4" w:space="0"/>
            </w:tcBorders>
            <w:vAlign w:val="center"/>
          </w:tcPr>
          <w:p w14:paraId="5908115D">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10</w:t>
            </w:r>
          </w:p>
        </w:tc>
        <w:tc>
          <w:tcPr>
            <w:tcW w:w="309" w:type="dxa"/>
            <w:tcBorders>
              <w:top w:val="single" w:color="auto" w:sz="4" w:space="0"/>
              <w:left w:val="single" w:color="auto" w:sz="4" w:space="0"/>
              <w:bottom w:val="single" w:color="auto" w:sz="4" w:space="0"/>
              <w:right w:val="single" w:color="auto" w:sz="4" w:space="0"/>
            </w:tcBorders>
            <w:vAlign w:val="center"/>
          </w:tcPr>
          <w:p w14:paraId="4F26561D">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00677DB4">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38A2C40E">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4E22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2" w:hRule="atLeast"/>
          <w:jc w:val="center"/>
        </w:trPr>
        <w:tc>
          <w:tcPr>
            <w:tcW w:w="1019" w:type="dxa"/>
            <w:vMerge w:val="continue"/>
            <w:tcBorders>
              <w:top w:val="single" w:color="auto" w:sz="4" w:space="0"/>
              <w:left w:val="single" w:color="auto" w:sz="4" w:space="0"/>
              <w:bottom w:val="single" w:color="auto" w:sz="4" w:space="0"/>
              <w:right w:val="single" w:color="auto" w:sz="4" w:space="0"/>
            </w:tcBorders>
            <w:vAlign w:val="center"/>
          </w:tcPr>
          <w:p w14:paraId="30BF58F1">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color w:val="auto"/>
                <w:sz w:val="18"/>
                <w:szCs w:val="18"/>
              </w:rPr>
            </w:pPr>
          </w:p>
        </w:tc>
        <w:tc>
          <w:tcPr>
            <w:tcW w:w="619" w:type="dxa"/>
            <w:vMerge w:val="restart"/>
            <w:tcBorders>
              <w:top w:val="single" w:color="auto" w:sz="4" w:space="0"/>
              <w:left w:val="single" w:color="auto" w:sz="4" w:space="0"/>
              <w:bottom w:val="single" w:color="auto" w:sz="4" w:space="0"/>
              <w:right w:val="single" w:color="auto" w:sz="4" w:space="0"/>
            </w:tcBorders>
            <w:vAlign w:val="center"/>
          </w:tcPr>
          <w:p w14:paraId="098ECE2F">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家庭人口就学情况</w:t>
            </w:r>
          </w:p>
        </w:tc>
        <w:tc>
          <w:tcPr>
            <w:tcW w:w="2342" w:type="dxa"/>
            <w:tcBorders>
              <w:top w:val="single" w:color="auto" w:sz="4" w:space="0"/>
              <w:left w:val="single" w:color="auto" w:sz="4" w:space="0"/>
              <w:bottom w:val="single" w:color="auto" w:sz="4" w:space="0"/>
              <w:right w:val="single" w:color="auto" w:sz="4" w:space="0"/>
            </w:tcBorders>
            <w:vAlign w:val="center"/>
          </w:tcPr>
          <w:p w14:paraId="72DF6E8E">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2人/3人及以上高中或大学读书</w:t>
            </w:r>
          </w:p>
        </w:tc>
        <w:tc>
          <w:tcPr>
            <w:tcW w:w="564" w:type="dxa"/>
            <w:tcBorders>
              <w:top w:val="single" w:color="auto" w:sz="4" w:space="0"/>
              <w:left w:val="single" w:color="auto" w:sz="4" w:space="0"/>
              <w:bottom w:val="single" w:color="auto" w:sz="4" w:space="0"/>
              <w:right w:val="single" w:color="auto" w:sz="4" w:space="0"/>
            </w:tcBorders>
            <w:vAlign w:val="center"/>
          </w:tcPr>
          <w:p w14:paraId="3C67C158">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40/50</w:t>
            </w:r>
          </w:p>
        </w:tc>
        <w:tc>
          <w:tcPr>
            <w:tcW w:w="309" w:type="dxa"/>
            <w:tcBorders>
              <w:top w:val="single" w:color="auto" w:sz="4" w:space="0"/>
              <w:left w:val="single" w:color="auto" w:sz="4" w:space="0"/>
              <w:bottom w:val="single" w:color="auto" w:sz="4" w:space="0"/>
              <w:right w:val="single" w:color="auto" w:sz="4" w:space="0"/>
            </w:tcBorders>
            <w:vAlign w:val="center"/>
          </w:tcPr>
          <w:p w14:paraId="3C38D944">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646F51A1">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520B14E8">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7536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3" w:hRule="atLeast"/>
          <w:jc w:val="center"/>
        </w:trPr>
        <w:tc>
          <w:tcPr>
            <w:tcW w:w="1019" w:type="dxa"/>
            <w:vMerge w:val="continue"/>
            <w:tcBorders>
              <w:top w:val="single" w:color="auto" w:sz="4" w:space="0"/>
              <w:left w:val="single" w:color="auto" w:sz="4" w:space="0"/>
              <w:bottom w:val="single" w:color="auto" w:sz="4" w:space="0"/>
              <w:right w:val="single" w:color="auto" w:sz="4" w:space="0"/>
            </w:tcBorders>
            <w:vAlign w:val="center"/>
          </w:tcPr>
          <w:p w14:paraId="0BB11D87">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color w:val="auto"/>
                <w:sz w:val="18"/>
                <w:szCs w:val="18"/>
              </w:rPr>
            </w:pPr>
          </w:p>
        </w:tc>
        <w:tc>
          <w:tcPr>
            <w:tcW w:w="619" w:type="dxa"/>
            <w:vMerge w:val="continue"/>
            <w:tcBorders>
              <w:top w:val="single" w:color="auto" w:sz="4" w:space="0"/>
              <w:left w:val="single" w:color="auto" w:sz="4" w:space="0"/>
              <w:bottom w:val="single" w:color="auto" w:sz="4" w:space="0"/>
              <w:right w:val="single" w:color="auto" w:sz="4" w:space="0"/>
            </w:tcBorders>
            <w:vAlign w:val="center"/>
          </w:tcPr>
          <w:p w14:paraId="580E2C8C">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color w:val="auto"/>
                <w:sz w:val="18"/>
                <w:szCs w:val="18"/>
              </w:rPr>
            </w:pPr>
          </w:p>
        </w:tc>
        <w:tc>
          <w:tcPr>
            <w:tcW w:w="2342" w:type="dxa"/>
            <w:tcBorders>
              <w:top w:val="single" w:color="auto" w:sz="4" w:space="0"/>
              <w:left w:val="single" w:color="auto" w:sz="4" w:space="0"/>
              <w:bottom w:val="single" w:color="auto" w:sz="4" w:space="0"/>
              <w:right w:val="single" w:color="auto" w:sz="4" w:space="0"/>
            </w:tcBorders>
            <w:vAlign w:val="center"/>
          </w:tcPr>
          <w:p w14:paraId="39351FD9">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2人读书（1人大学，其它小学或初中）</w:t>
            </w:r>
          </w:p>
        </w:tc>
        <w:tc>
          <w:tcPr>
            <w:tcW w:w="564" w:type="dxa"/>
            <w:tcBorders>
              <w:top w:val="single" w:color="auto" w:sz="4" w:space="0"/>
              <w:left w:val="single" w:color="auto" w:sz="4" w:space="0"/>
              <w:bottom w:val="single" w:color="auto" w:sz="4" w:space="0"/>
              <w:right w:val="single" w:color="auto" w:sz="4" w:space="0"/>
            </w:tcBorders>
            <w:vAlign w:val="center"/>
          </w:tcPr>
          <w:p w14:paraId="42C718D1">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10</w:t>
            </w:r>
          </w:p>
        </w:tc>
        <w:tc>
          <w:tcPr>
            <w:tcW w:w="309" w:type="dxa"/>
            <w:tcBorders>
              <w:top w:val="single" w:color="auto" w:sz="4" w:space="0"/>
              <w:left w:val="single" w:color="auto" w:sz="4" w:space="0"/>
              <w:bottom w:val="single" w:color="auto" w:sz="4" w:space="0"/>
              <w:right w:val="single" w:color="auto" w:sz="4" w:space="0"/>
            </w:tcBorders>
            <w:vAlign w:val="center"/>
          </w:tcPr>
          <w:p w14:paraId="08942C6E">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3F3C3006">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2A19FC8B">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7DC7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8" w:hRule="atLeast"/>
          <w:jc w:val="center"/>
        </w:trPr>
        <w:tc>
          <w:tcPr>
            <w:tcW w:w="1019" w:type="dxa"/>
            <w:vMerge w:val="continue"/>
            <w:tcBorders>
              <w:top w:val="single" w:color="auto" w:sz="4" w:space="0"/>
              <w:left w:val="single" w:color="auto" w:sz="4" w:space="0"/>
              <w:bottom w:val="single" w:color="auto" w:sz="4" w:space="0"/>
              <w:right w:val="single" w:color="auto" w:sz="4" w:space="0"/>
            </w:tcBorders>
            <w:vAlign w:val="center"/>
          </w:tcPr>
          <w:p w14:paraId="3C6CA0F4">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color w:val="auto"/>
                <w:sz w:val="18"/>
                <w:szCs w:val="18"/>
              </w:rPr>
            </w:pPr>
          </w:p>
        </w:tc>
        <w:tc>
          <w:tcPr>
            <w:tcW w:w="619" w:type="dxa"/>
            <w:tcBorders>
              <w:top w:val="single" w:color="auto" w:sz="4" w:space="0"/>
              <w:left w:val="single" w:color="auto" w:sz="4" w:space="0"/>
              <w:bottom w:val="single" w:color="auto" w:sz="4" w:space="0"/>
              <w:right w:val="single" w:color="auto" w:sz="4" w:space="0"/>
            </w:tcBorders>
            <w:vAlign w:val="center"/>
          </w:tcPr>
          <w:p w14:paraId="1F0C71D4">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父母年迈</w:t>
            </w:r>
          </w:p>
        </w:tc>
        <w:tc>
          <w:tcPr>
            <w:tcW w:w="2342" w:type="dxa"/>
            <w:tcBorders>
              <w:top w:val="single" w:color="auto" w:sz="4" w:space="0"/>
              <w:left w:val="single" w:color="auto" w:sz="4" w:space="0"/>
              <w:bottom w:val="single" w:color="auto" w:sz="4" w:space="0"/>
              <w:right w:val="single" w:color="auto" w:sz="4" w:space="0"/>
            </w:tcBorders>
            <w:vAlign w:val="center"/>
          </w:tcPr>
          <w:p w14:paraId="52F9DEE7">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父</w:t>
            </w:r>
            <w:r>
              <w:rPr>
                <w:rFonts w:hint="eastAsia" w:ascii="宋体" w:hAnsi="宋体"/>
                <w:color w:val="auto"/>
                <w:sz w:val="18"/>
                <w:szCs w:val="18"/>
                <w:lang w:eastAsia="zh-CN"/>
              </w:rPr>
              <w:t>或</w:t>
            </w:r>
            <w:r>
              <w:rPr>
                <w:rFonts w:hint="eastAsia" w:ascii="宋体" w:hAnsi="宋体"/>
                <w:color w:val="auto"/>
                <w:sz w:val="18"/>
                <w:szCs w:val="18"/>
              </w:rPr>
              <w:t>母年龄在60以上</w:t>
            </w:r>
            <w:r>
              <w:rPr>
                <w:rFonts w:hint="eastAsia" w:ascii="宋体" w:hAnsi="宋体"/>
                <w:color w:val="auto"/>
                <w:sz w:val="18"/>
                <w:szCs w:val="18"/>
                <w:lang w:eastAsia="zh-CN"/>
              </w:rPr>
              <w:t>（身份证复印件或户口本复印件）</w:t>
            </w:r>
          </w:p>
        </w:tc>
        <w:tc>
          <w:tcPr>
            <w:tcW w:w="564" w:type="dxa"/>
            <w:tcBorders>
              <w:top w:val="single" w:color="auto" w:sz="4" w:space="0"/>
              <w:left w:val="single" w:color="auto" w:sz="4" w:space="0"/>
              <w:bottom w:val="single" w:color="auto" w:sz="4" w:space="0"/>
              <w:right w:val="single" w:color="auto" w:sz="4" w:space="0"/>
            </w:tcBorders>
            <w:vAlign w:val="center"/>
          </w:tcPr>
          <w:p w14:paraId="3B045262">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15</w:t>
            </w:r>
          </w:p>
        </w:tc>
        <w:tc>
          <w:tcPr>
            <w:tcW w:w="309" w:type="dxa"/>
            <w:tcBorders>
              <w:top w:val="single" w:color="auto" w:sz="4" w:space="0"/>
              <w:left w:val="single" w:color="auto" w:sz="4" w:space="0"/>
              <w:bottom w:val="single" w:color="auto" w:sz="4" w:space="0"/>
              <w:right w:val="single" w:color="auto" w:sz="4" w:space="0"/>
            </w:tcBorders>
            <w:vAlign w:val="center"/>
          </w:tcPr>
          <w:p w14:paraId="2889D0DC">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0D68864E">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34B8480E">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6358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83" w:hRule="atLeast"/>
          <w:jc w:val="center"/>
        </w:trPr>
        <w:tc>
          <w:tcPr>
            <w:tcW w:w="1019" w:type="dxa"/>
            <w:vMerge w:val="continue"/>
            <w:tcBorders>
              <w:top w:val="single" w:color="auto" w:sz="4" w:space="0"/>
              <w:left w:val="single" w:color="auto" w:sz="4" w:space="0"/>
              <w:bottom w:val="single" w:color="auto" w:sz="4" w:space="0"/>
              <w:right w:val="single" w:color="auto" w:sz="4" w:space="0"/>
            </w:tcBorders>
            <w:vAlign w:val="center"/>
          </w:tcPr>
          <w:p w14:paraId="7A9507AB">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color w:val="auto"/>
                <w:sz w:val="18"/>
                <w:szCs w:val="18"/>
              </w:rPr>
            </w:pPr>
          </w:p>
        </w:tc>
        <w:tc>
          <w:tcPr>
            <w:tcW w:w="619" w:type="dxa"/>
            <w:tcBorders>
              <w:top w:val="single" w:color="auto" w:sz="4" w:space="0"/>
              <w:left w:val="single" w:color="auto" w:sz="4" w:space="0"/>
              <w:bottom w:val="single" w:color="auto" w:sz="4" w:space="0"/>
              <w:right w:val="single" w:color="auto" w:sz="4" w:space="0"/>
            </w:tcBorders>
            <w:vAlign w:val="center"/>
          </w:tcPr>
          <w:p w14:paraId="1A480C67">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家庭成员健康情况</w:t>
            </w:r>
          </w:p>
        </w:tc>
        <w:tc>
          <w:tcPr>
            <w:tcW w:w="2342" w:type="dxa"/>
            <w:tcBorders>
              <w:top w:val="single" w:color="auto" w:sz="4" w:space="0"/>
              <w:left w:val="single" w:color="auto" w:sz="4" w:space="0"/>
              <w:bottom w:val="single" w:color="auto" w:sz="4" w:space="0"/>
              <w:right w:val="single" w:color="auto" w:sz="4" w:space="0"/>
            </w:tcBorders>
            <w:vAlign w:val="center"/>
          </w:tcPr>
          <w:p w14:paraId="3C84EFF4">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父(母)一至三级残疾/父（母）一般残疾/兄弟姐妹中有残疾人，需父母供养(须提供残疾证)</w:t>
            </w:r>
          </w:p>
        </w:tc>
        <w:tc>
          <w:tcPr>
            <w:tcW w:w="564" w:type="dxa"/>
            <w:tcBorders>
              <w:top w:val="single" w:color="auto" w:sz="4" w:space="0"/>
              <w:left w:val="single" w:color="auto" w:sz="4" w:space="0"/>
              <w:bottom w:val="single" w:color="auto" w:sz="4" w:space="0"/>
              <w:right w:val="single" w:color="auto" w:sz="4" w:space="0"/>
            </w:tcBorders>
            <w:vAlign w:val="center"/>
          </w:tcPr>
          <w:p w14:paraId="791DD8A6">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30/20/10</w:t>
            </w:r>
          </w:p>
        </w:tc>
        <w:tc>
          <w:tcPr>
            <w:tcW w:w="309" w:type="dxa"/>
            <w:tcBorders>
              <w:top w:val="single" w:color="auto" w:sz="4" w:space="0"/>
              <w:left w:val="single" w:color="auto" w:sz="4" w:space="0"/>
              <w:bottom w:val="single" w:color="auto" w:sz="4" w:space="0"/>
              <w:right w:val="single" w:color="auto" w:sz="4" w:space="0"/>
            </w:tcBorders>
            <w:vAlign w:val="center"/>
          </w:tcPr>
          <w:p w14:paraId="5767FCCB">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5E2E34C6">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60F41E79">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1986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6" w:hRule="atLeast"/>
          <w:jc w:val="center"/>
        </w:trPr>
        <w:tc>
          <w:tcPr>
            <w:tcW w:w="1019" w:type="dxa"/>
            <w:tcBorders>
              <w:top w:val="single" w:color="auto" w:sz="4" w:space="0"/>
              <w:left w:val="single" w:color="auto" w:sz="4" w:space="0"/>
              <w:bottom w:val="single" w:color="auto" w:sz="4" w:space="0"/>
              <w:right w:val="single" w:color="auto" w:sz="4" w:space="0"/>
            </w:tcBorders>
            <w:vAlign w:val="center"/>
          </w:tcPr>
          <w:p w14:paraId="4B8C9412">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lang w:val="en-US" w:eastAsia="zh-CN"/>
              </w:rPr>
              <w:t>6</w:t>
            </w:r>
            <w:r>
              <w:rPr>
                <w:rFonts w:hint="eastAsia" w:ascii="宋体" w:hAnsi="宋体"/>
                <w:color w:val="auto"/>
                <w:sz w:val="18"/>
                <w:szCs w:val="18"/>
              </w:rPr>
              <w:t>、农村低保户</w:t>
            </w:r>
          </w:p>
        </w:tc>
        <w:tc>
          <w:tcPr>
            <w:tcW w:w="2961" w:type="dxa"/>
            <w:gridSpan w:val="2"/>
            <w:tcBorders>
              <w:top w:val="single" w:color="auto" w:sz="4" w:space="0"/>
              <w:left w:val="single" w:color="auto" w:sz="4" w:space="0"/>
              <w:bottom w:val="single" w:color="auto" w:sz="4" w:space="0"/>
              <w:right w:val="single" w:color="auto" w:sz="4" w:space="0"/>
            </w:tcBorders>
            <w:vAlign w:val="center"/>
          </w:tcPr>
          <w:p w14:paraId="3410AB32">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家庭被当地政府列为特困户或重点优抚对象、农村低保户（需有当年或上一年度低保证）</w:t>
            </w:r>
          </w:p>
        </w:tc>
        <w:tc>
          <w:tcPr>
            <w:tcW w:w="564" w:type="dxa"/>
            <w:tcBorders>
              <w:top w:val="single" w:color="auto" w:sz="4" w:space="0"/>
              <w:left w:val="single" w:color="auto" w:sz="4" w:space="0"/>
              <w:bottom w:val="single" w:color="auto" w:sz="4" w:space="0"/>
              <w:right w:val="single" w:color="auto" w:sz="4" w:space="0"/>
            </w:tcBorders>
            <w:vAlign w:val="center"/>
          </w:tcPr>
          <w:p w14:paraId="05A929AA">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40</w:t>
            </w:r>
          </w:p>
        </w:tc>
        <w:tc>
          <w:tcPr>
            <w:tcW w:w="309" w:type="dxa"/>
            <w:tcBorders>
              <w:top w:val="single" w:color="auto" w:sz="4" w:space="0"/>
              <w:left w:val="single" w:color="auto" w:sz="4" w:space="0"/>
              <w:bottom w:val="single" w:color="auto" w:sz="4" w:space="0"/>
              <w:right w:val="single" w:color="auto" w:sz="4" w:space="0"/>
            </w:tcBorders>
            <w:vAlign w:val="center"/>
          </w:tcPr>
          <w:p w14:paraId="732F411E">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2D8028AC">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2EF3D0C9">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37C6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37" w:hRule="atLeast"/>
          <w:jc w:val="center"/>
        </w:trPr>
        <w:tc>
          <w:tcPr>
            <w:tcW w:w="1019" w:type="dxa"/>
            <w:tcBorders>
              <w:top w:val="single" w:color="auto" w:sz="4" w:space="0"/>
              <w:left w:val="single" w:color="auto" w:sz="4" w:space="0"/>
              <w:bottom w:val="single" w:color="auto" w:sz="4" w:space="0"/>
              <w:right w:val="single" w:color="auto" w:sz="4" w:space="0"/>
            </w:tcBorders>
            <w:vAlign w:val="center"/>
          </w:tcPr>
          <w:p w14:paraId="171F5615">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lang w:val="en-US" w:eastAsia="zh-CN"/>
              </w:rPr>
              <w:t>7</w:t>
            </w:r>
            <w:r>
              <w:rPr>
                <w:rFonts w:hint="eastAsia" w:ascii="宋体" w:hAnsi="宋体"/>
                <w:color w:val="auto"/>
                <w:sz w:val="18"/>
                <w:szCs w:val="18"/>
              </w:rPr>
              <w:t>、</w:t>
            </w:r>
            <w:r>
              <w:rPr>
                <w:rFonts w:hint="eastAsia" w:ascii="宋体" w:hAnsi="宋体"/>
                <w:color w:val="auto"/>
                <w:sz w:val="18"/>
                <w:szCs w:val="18"/>
                <w:lang w:eastAsia="zh-CN"/>
              </w:rPr>
              <w:t>西部偏远农村</w:t>
            </w:r>
          </w:p>
        </w:tc>
        <w:tc>
          <w:tcPr>
            <w:tcW w:w="2961" w:type="dxa"/>
            <w:gridSpan w:val="2"/>
            <w:tcBorders>
              <w:top w:val="single" w:color="auto" w:sz="4" w:space="0"/>
              <w:left w:val="single" w:color="auto" w:sz="4" w:space="0"/>
              <w:bottom w:val="single" w:color="auto" w:sz="4" w:space="0"/>
              <w:right w:val="single" w:color="auto" w:sz="4" w:space="0"/>
            </w:tcBorders>
            <w:vAlign w:val="center"/>
          </w:tcPr>
          <w:p w14:paraId="543890E9">
            <w:pPr>
              <w:keepNext w:val="0"/>
              <w:keepLines w:val="0"/>
              <w:pageBreakBefore w:val="0"/>
              <w:kinsoku/>
              <w:wordWrap/>
              <w:overflowPunct/>
              <w:topLinePunct w:val="0"/>
              <w:autoSpaceDE/>
              <w:autoSpaceDN/>
              <w:bidi w:val="0"/>
              <w:adjustRightInd w:val="0"/>
              <w:snapToGrid w:val="0"/>
              <w:textAlignment w:val="auto"/>
              <w:rPr>
                <w:rFonts w:hint="eastAsia" w:ascii="宋体" w:hAnsi="宋体" w:eastAsia="宋体"/>
                <w:color w:val="auto"/>
                <w:sz w:val="18"/>
                <w:szCs w:val="18"/>
                <w:lang w:eastAsia="zh-CN"/>
              </w:rPr>
            </w:pPr>
            <w:r>
              <w:rPr>
                <w:rFonts w:hint="eastAsia" w:ascii="宋体" w:hAnsi="宋体"/>
                <w:color w:val="auto"/>
                <w:sz w:val="18"/>
                <w:szCs w:val="18"/>
                <w:lang w:eastAsia="zh-CN"/>
              </w:rPr>
              <w:t>青海、云南、甘肃生源，父母均务农</w:t>
            </w:r>
            <w:r>
              <w:rPr>
                <w:rFonts w:hint="eastAsia" w:ascii="宋体" w:hAnsi="宋体"/>
                <w:color w:val="auto"/>
                <w:sz w:val="18"/>
                <w:szCs w:val="18"/>
                <w:lang w:val="en-US" w:eastAsia="zh-CN"/>
              </w:rPr>
              <w:t>/父（母）</w:t>
            </w:r>
            <w:r>
              <w:rPr>
                <w:rFonts w:hint="eastAsia" w:ascii="宋体" w:hAnsi="宋体"/>
                <w:color w:val="auto"/>
                <w:sz w:val="18"/>
                <w:szCs w:val="18"/>
                <w:lang w:eastAsia="zh-CN"/>
              </w:rPr>
              <w:t>一人打工</w:t>
            </w:r>
          </w:p>
        </w:tc>
        <w:tc>
          <w:tcPr>
            <w:tcW w:w="564" w:type="dxa"/>
            <w:tcBorders>
              <w:top w:val="single" w:color="auto" w:sz="4" w:space="0"/>
              <w:left w:val="single" w:color="auto" w:sz="4" w:space="0"/>
              <w:bottom w:val="single" w:color="auto" w:sz="4" w:space="0"/>
              <w:right w:val="single" w:color="auto" w:sz="4" w:space="0"/>
            </w:tcBorders>
            <w:vAlign w:val="center"/>
          </w:tcPr>
          <w:p w14:paraId="4E299435">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olor w:val="auto"/>
                <w:sz w:val="18"/>
                <w:szCs w:val="18"/>
                <w:lang w:eastAsia="zh-CN"/>
              </w:rPr>
            </w:pPr>
            <w:r>
              <w:rPr>
                <w:rFonts w:hint="eastAsia" w:ascii="宋体" w:hAnsi="宋体"/>
                <w:color w:val="auto"/>
                <w:sz w:val="18"/>
                <w:szCs w:val="18"/>
                <w:lang w:val="en-US" w:eastAsia="zh-CN"/>
              </w:rPr>
              <w:t>30/20</w:t>
            </w:r>
          </w:p>
        </w:tc>
        <w:tc>
          <w:tcPr>
            <w:tcW w:w="309" w:type="dxa"/>
            <w:tcBorders>
              <w:top w:val="single" w:color="auto" w:sz="4" w:space="0"/>
              <w:left w:val="single" w:color="auto" w:sz="4" w:space="0"/>
              <w:right w:val="single" w:color="auto" w:sz="4" w:space="0"/>
            </w:tcBorders>
            <w:vAlign w:val="center"/>
          </w:tcPr>
          <w:p w14:paraId="65937CA8">
            <w:pPr>
              <w:keepNext w:val="0"/>
              <w:keepLines w:val="0"/>
              <w:pageBreakBefore w:val="0"/>
              <w:kinsoku/>
              <w:wordWrap/>
              <w:overflowPunct/>
              <w:topLinePunct w:val="0"/>
              <w:autoSpaceDE/>
              <w:autoSpaceDN/>
              <w:bidi w:val="0"/>
              <w:adjustRightInd w:val="0"/>
              <w:snapToGrid w:val="0"/>
              <w:jc w:val="center"/>
              <w:textAlignment w:val="auto"/>
              <w:rPr>
                <w:rFonts w:hint="eastAsia" w:ascii="宋体" w:hAnsi="宋体" w:eastAsia="宋体"/>
                <w:color w:val="auto"/>
                <w:sz w:val="18"/>
                <w:szCs w:val="18"/>
                <w:lang w:eastAsia="zh-CN"/>
              </w:rPr>
            </w:pPr>
          </w:p>
        </w:tc>
        <w:tc>
          <w:tcPr>
            <w:tcW w:w="355" w:type="dxa"/>
            <w:tcBorders>
              <w:top w:val="single" w:color="auto" w:sz="4" w:space="0"/>
              <w:left w:val="single" w:color="auto" w:sz="4" w:space="0"/>
              <w:bottom w:val="single" w:color="auto" w:sz="4" w:space="0"/>
              <w:right w:val="single" w:color="auto" w:sz="4" w:space="0"/>
            </w:tcBorders>
            <w:vAlign w:val="center"/>
          </w:tcPr>
          <w:p w14:paraId="39264EC7">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75B56EB9">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347F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1" w:hRule="atLeast"/>
          <w:jc w:val="center"/>
        </w:trPr>
        <w:tc>
          <w:tcPr>
            <w:tcW w:w="1019" w:type="dxa"/>
            <w:tcBorders>
              <w:top w:val="single" w:color="auto" w:sz="4" w:space="0"/>
              <w:left w:val="single" w:color="auto" w:sz="4" w:space="0"/>
              <w:bottom w:val="single" w:color="auto" w:sz="4" w:space="0"/>
              <w:right w:val="single" w:color="auto" w:sz="4" w:space="0"/>
            </w:tcBorders>
            <w:vAlign w:val="center"/>
          </w:tcPr>
          <w:p w14:paraId="2CDC6797">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lang w:val="en-US" w:eastAsia="zh-CN"/>
              </w:rPr>
              <w:t>8</w:t>
            </w:r>
            <w:r>
              <w:rPr>
                <w:rFonts w:hint="eastAsia" w:ascii="宋体" w:hAnsi="宋体"/>
                <w:color w:val="auto"/>
                <w:sz w:val="18"/>
                <w:szCs w:val="18"/>
              </w:rPr>
              <w:t>、家庭经济来源</w:t>
            </w:r>
          </w:p>
        </w:tc>
        <w:tc>
          <w:tcPr>
            <w:tcW w:w="2961" w:type="dxa"/>
            <w:gridSpan w:val="2"/>
            <w:tcBorders>
              <w:top w:val="single" w:color="auto" w:sz="4" w:space="0"/>
              <w:left w:val="single" w:color="auto" w:sz="4" w:space="0"/>
              <w:bottom w:val="single" w:color="auto" w:sz="4" w:space="0"/>
              <w:right w:val="single" w:color="auto" w:sz="4" w:space="0"/>
            </w:tcBorders>
            <w:vAlign w:val="center"/>
          </w:tcPr>
          <w:p w14:paraId="18791225">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家庭无额外经济收入，父母主要靠种田/父（母）一人打工，一人务农</w:t>
            </w:r>
            <w:r>
              <w:rPr>
                <w:rFonts w:hint="eastAsia" w:ascii="宋体" w:hAnsi="宋体"/>
                <w:color w:val="auto"/>
                <w:sz w:val="18"/>
                <w:szCs w:val="18"/>
                <w:lang w:eastAsia="zh-CN"/>
              </w:rPr>
              <w:t>（村委会证明）</w:t>
            </w:r>
          </w:p>
        </w:tc>
        <w:tc>
          <w:tcPr>
            <w:tcW w:w="564" w:type="dxa"/>
            <w:tcBorders>
              <w:top w:val="single" w:color="auto" w:sz="4" w:space="0"/>
              <w:left w:val="single" w:color="auto" w:sz="4" w:space="0"/>
              <w:bottom w:val="single" w:color="auto" w:sz="4" w:space="0"/>
              <w:right w:val="single" w:color="auto" w:sz="4" w:space="0"/>
            </w:tcBorders>
            <w:vAlign w:val="center"/>
          </w:tcPr>
          <w:p w14:paraId="242D4195">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15/5</w:t>
            </w:r>
          </w:p>
        </w:tc>
        <w:tc>
          <w:tcPr>
            <w:tcW w:w="309" w:type="dxa"/>
            <w:tcBorders>
              <w:left w:val="single" w:color="auto" w:sz="4" w:space="0"/>
              <w:bottom w:val="single" w:color="auto" w:sz="4" w:space="0"/>
              <w:right w:val="single" w:color="auto" w:sz="4" w:space="0"/>
            </w:tcBorders>
            <w:vAlign w:val="center"/>
          </w:tcPr>
          <w:p w14:paraId="2DCB54D8">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2B9D5941">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075CC4A3">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7808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04" w:hRule="atLeast"/>
          <w:jc w:val="center"/>
        </w:trPr>
        <w:tc>
          <w:tcPr>
            <w:tcW w:w="1019" w:type="dxa"/>
            <w:vMerge w:val="restart"/>
            <w:tcBorders>
              <w:top w:val="single" w:color="auto" w:sz="4" w:space="0"/>
              <w:left w:val="single" w:color="auto" w:sz="4" w:space="0"/>
              <w:bottom w:val="single" w:color="auto" w:sz="4" w:space="0"/>
              <w:right w:val="single" w:color="auto" w:sz="4" w:space="0"/>
            </w:tcBorders>
            <w:vAlign w:val="center"/>
          </w:tcPr>
          <w:p w14:paraId="7C0E9C86">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lang w:val="en-US" w:eastAsia="zh-CN"/>
              </w:rPr>
              <w:t>9</w:t>
            </w:r>
            <w:r>
              <w:rPr>
                <w:rFonts w:hint="eastAsia" w:ascii="宋体" w:hAnsi="宋体"/>
                <w:color w:val="auto"/>
                <w:sz w:val="18"/>
                <w:szCs w:val="18"/>
              </w:rPr>
              <w:t>、家庭遭受突发意外事件，遭遇自然灾害(只能A或 B )</w:t>
            </w:r>
          </w:p>
        </w:tc>
        <w:tc>
          <w:tcPr>
            <w:tcW w:w="2961" w:type="dxa"/>
            <w:gridSpan w:val="2"/>
            <w:tcBorders>
              <w:top w:val="single" w:color="auto" w:sz="4" w:space="0"/>
              <w:left w:val="single" w:color="auto" w:sz="4" w:space="0"/>
              <w:bottom w:val="single" w:color="auto" w:sz="4" w:space="0"/>
              <w:right w:val="single" w:color="auto" w:sz="4" w:space="0"/>
            </w:tcBorders>
            <w:vAlign w:val="center"/>
          </w:tcPr>
          <w:p w14:paraId="7001D5D2">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A  上一学年，家庭遭受突发性严重自然（如严重水灾、地震等）造成自家住房倒塌/冲垮田地</w:t>
            </w:r>
          </w:p>
          <w:p w14:paraId="163175A0">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（需提供</w:t>
            </w:r>
            <w:r>
              <w:rPr>
                <w:rFonts w:hint="eastAsia" w:ascii="宋体" w:hAnsi="宋体"/>
                <w:color w:val="auto"/>
                <w:sz w:val="18"/>
                <w:szCs w:val="18"/>
                <w:lang w:eastAsia="zh-CN"/>
              </w:rPr>
              <w:t>乡民政部门</w:t>
            </w:r>
            <w:r>
              <w:rPr>
                <w:rFonts w:hint="eastAsia" w:ascii="宋体" w:hAnsi="宋体"/>
                <w:color w:val="auto"/>
                <w:sz w:val="18"/>
                <w:szCs w:val="18"/>
              </w:rPr>
              <w:t>证明，学校要调查）</w:t>
            </w:r>
          </w:p>
        </w:tc>
        <w:tc>
          <w:tcPr>
            <w:tcW w:w="564" w:type="dxa"/>
            <w:tcBorders>
              <w:top w:val="single" w:color="auto" w:sz="4" w:space="0"/>
              <w:left w:val="single" w:color="auto" w:sz="4" w:space="0"/>
              <w:bottom w:val="single" w:color="auto" w:sz="4" w:space="0"/>
              <w:right w:val="single" w:color="auto" w:sz="4" w:space="0"/>
            </w:tcBorders>
            <w:vAlign w:val="center"/>
          </w:tcPr>
          <w:p w14:paraId="24CA4814">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30/15</w:t>
            </w:r>
          </w:p>
        </w:tc>
        <w:tc>
          <w:tcPr>
            <w:tcW w:w="309" w:type="dxa"/>
            <w:tcBorders>
              <w:top w:val="single" w:color="auto" w:sz="4" w:space="0"/>
              <w:left w:val="single" w:color="auto" w:sz="4" w:space="0"/>
              <w:bottom w:val="single" w:color="auto" w:sz="4" w:space="0"/>
              <w:right w:val="single" w:color="auto" w:sz="4" w:space="0"/>
            </w:tcBorders>
            <w:vAlign w:val="center"/>
          </w:tcPr>
          <w:p w14:paraId="02E0F7F4">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24E8A5FB">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200DE49B">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56F00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2" w:hRule="atLeast"/>
          <w:jc w:val="center"/>
        </w:trPr>
        <w:tc>
          <w:tcPr>
            <w:tcW w:w="1019" w:type="dxa"/>
            <w:vMerge w:val="continue"/>
            <w:tcBorders>
              <w:top w:val="single" w:color="auto" w:sz="4" w:space="0"/>
              <w:left w:val="single" w:color="auto" w:sz="4" w:space="0"/>
              <w:bottom w:val="single" w:color="auto" w:sz="4" w:space="0"/>
              <w:right w:val="single" w:color="auto" w:sz="4" w:space="0"/>
            </w:tcBorders>
            <w:vAlign w:val="center"/>
          </w:tcPr>
          <w:p w14:paraId="28705CB8">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color w:val="auto"/>
                <w:sz w:val="18"/>
                <w:szCs w:val="18"/>
              </w:rPr>
            </w:pPr>
          </w:p>
        </w:tc>
        <w:tc>
          <w:tcPr>
            <w:tcW w:w="2961" w:type="dxa"/>
            <w:gridSpan w:val="2"/>
            <w:tcBorders>
              <w:top w:val="single" w:color="auto" w:sz="4" w:space="0"/>
              <w:left w:val="single" w:color="auto" w:sz="4" w:space="0"/>
              <w:bottom w:val="single" w:color="auto" w:sz="4" w:space="0"/>
              <w:right w:val="single" w:color="auto" w:sz="4" w:space="0"/>
            </w:tcBorders>
            <w:vAlign w:val="center"/>
          </w:tcPr>
          <w:p w14:paraId="3A038343">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B  最近半年，家庭突遇旱灾、严重虫灾等自然灾害，绝收，无经济来源（需提供</w:t>
            </w:r>
            <w:r>
              <w:rPr>
                <w:rFonts w:hint="eastAsia" w:ascii="宋体" w:hAnsi="宋体"/>
                <w:color w:val="auto"/>
                <w:sz w:val="18"/>
                <w:szCs w:val="18"/>
                <w:lang w:eastAsia="zh-CN"/>
              </w:rPr>
              <w:t>乡民政部门</w:t>
            </w:r>
            <w:r>
              <w:rPr>
                <w:rFonts w:hint="eastAsia" w:ascii="宋体" w:hAnsi="宋体"/>
                <w:color w:val="auto"/>
                <w:sz w:val="18"/>
                <w:szCs w:val="18"/>
              </w:rPr>
              <w:t>证明，学校要调查）</w:t>
            </w:r>
          </w:p>
        </w:tc>
        <w:tc>
          <w:tcPr>
            <w:tcW w:w="564" w:type="dxa"/>
            <w:tcBorders>
              <w:top w:val="single" w:color="auto" w:sz="4" w:space="0"/>
              <w:left w:val="single" w:color="auto" w:sz="4" w:space="0"/>
              <w:bottom w:val="single" w:color="auto" w:sz="4" w:space="0"/>
              <w:right w:val="single" w:color="auto" w:sz="4" w:space="0"/>
            </w:tcBorders>
            <w:vAlign w:val="center"/>
          </w:tcPr>
          <w:p w14:paraId="4DAD592B">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10</w:t>
            </w:r>
          </w:p>
        </w:tc>
        <w:tc>
          <w:tcPr>
            <w:tcW w:w="309" w:type="dxa"/>
            <w:tcBorders>
              <w:top w:val="single" w:color="auto" w:sz="4" w:space="0"/>
              <w:left w:val="single" w:color="auto" w:sz="4" w:space="0"/>
              <w:bottom w:val="single" w:color="auto" w:sz="4" w:space="0"/>
              <w:right w:val="single" w:color="auto" w:sz="4" w:space="0"/>
            </w:tcBorders>
            <w:vAlign w:val="center"/>
          </w:tcPr>
          <w:p w14:paraId="275225D4">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504E5FA2">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09D60B28">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37ED6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3" w:hRule="atLeast"/>
          <w:jc w:val="center"/>
        </w:trPr>
        <w:tc>
          <w:tcPr>
            <w:tcW w:w="1019" w:type="dxa"/>
            <w:tcBorders>
              <w:top w:val="single" w:color="auto" w:sz="4" w:space="0"/>
              <w:left w:val="single" w:color="auto" w:sz="4" w:space="0"/>
              <w:bottom w:val="single" w:color="auto" w:sz="4" w:space="0"/>
              <w:right w:val="single" w:color="auto" w:sz="4" w:space="0"/>
            </w:tcBorders>
            <w:vAlign w:val="center"/>
          </w:tcPr>
          <w:p w14:paraId="5AA98799">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lang w:val="en-US" w:eastAsia="zh-CN"/>
              </w:rPr>
              <w:t>10</w:t>
            </w:r>
            <w:r>
              <w:rPr>
                <w:rFonts w:hint="eastAsia" w:ascii="宋体" w:hAnsi="宋体"/>
                <w:color w:val="auto"/>
                <w:sz w:val="18"/>
                <w:szCs w:val="18"/>
              </w:rPr>
              <w:t>、城镇困难家庭</w:t>
            </w:r>
          </w:p>
        </w:tc>
        <w:tc>
          <w:tcPr>
            <w:tcW w:w="2961" w:type="dxa"/>
            <w:gridSpan w:val="2"/>
            <w:tcBorders>
              <w:top w:val="single" w:color="auto" w:sz="4" w:space="0"/>
              <w:left w:val="single" w:color="auto" w:sz="4" w:space="0"/>
              <w:bottom w:val="single" w:color="auto" w:sz="4" w:space="0"/>
              <w:right w:val="single" w:color="auto" w:sz="4" w:space="0"/>
            </w:tcBorders>
            <w:vAlign w:val="center"/>
          </w:tcPr>
          <w:p w14:paraId="2D6977C9">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有低保证（需有当年低保证或当年发放存折)/双下岗</w:t>
            </w:r>
          </w:p>
        </w:tc>
        <w:tc>
          <w:tcPr>
            <w:tcW w:w="564" w:type="dxa"/>
            <w:tcBorders>
              <w:top w:val="single" w:color="auto" w:sz="4" w:space="0"/>
              <w:left w:val="single" w:color="auto" w:sz="4" w:space="0"/>
              <w:bottom w:val="single" w:color="auto" w:sz="4" w:space="0"/>
              <w:right w:val="single" w:color="auto" w:sz="4" w:space="0"/>
            </w:tcBorders>
            <w:vAlign w:val="center"/>
          </w:tcPr>
          <w:p w14:paraId="4A7254D5">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40/10</w:t>
            </w:r>
          </w:p>
        </w:tc>
        <w:tc>
          <w:tcPr>
            <w:tcW w:w="309" w:type="dxa"/>
            <w:tcBorders>
              <w:top w:val="single" w:color="auto" w:sz="4" w:space="0"/>
              <w:left w:val="single" w:color="auto" w:sz="4" w:space="0"/>
              <w:bottom w:val="single" w:color="auto" w:sz="4" w:space="0"/>
              <w:right w:val="single" w:color="auto" w:sz="4" w:space="0"/>
            </w:tcBorders>
            <w:vAlign w:val="center"/>
          </w:tcPr>
          <w:p w14:paraId="1343251C">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174BD0F5">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5982C464">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59A61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5" w:hRule="atLeast"/>
          <w:jc w:val="center"/>
        </w:trPr>
        <w:tc>
          <w:tcPr>
            <w:tcW w:w="1019" w:type="dxa"/>
            <w:vMerge w:val="restart"/>
            <w:tcBorders>
              <w:top w:val="single" w:color="auto" w:sz="4" w:space="0"/>
              <w:left w:val="single" w:color="auto" w:sz="4" w:space="0"/>
              <w:bottom w:val="single" w:color="auto" w:sz="4" w:space="0"/>
              <w:right w:val="single" w:color="auto" w:sz="4" w:space="0"/>
            </w:tcBorders>
            <w:vAlign w:val="center"/>
          </w:tcPr>
          <w:p w14:paraId="60ED9E9D">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1</w:t>
            </w:r>
            <w:r>
              <w:rPr>
                <w:rFonts w:hint="eastAsia" w:ascii="宋体" w:hAnsi="宋体"/>
                <w:color w:val="auto"/>
                <w:sz w:val="18"/>
                <w:szCs w:val="18"/>
                <w:lang w:val="en-US" w:eastAsia="zh-CN"/>
              </w:rPr>
              <w:t>1</w:t>
            </w:r>
            <w:r>
              <w:rPr>
                <w:rFonts w:hint="eastAsia" w:ascii="宋体" w:hAnsi="宋体"/>
                <w:color w:val="auto"/>
                <w:sz w:val="18"/>
                <w:szCs w:val="18"/>
              </w:rPr>
              <w:t>、其他</w:t>
            </w:r>
          </w:p>
        </w:tc>
        <w:tc>
          <w:tcPr>
            <w:tcW w:w="2961" w:type="dxa"/>
            <w:gridSpan w:val="2"/>
            <w:tcBorders>
              <w:top w:val="single" w:color="auto" w:sz="4" w:space="0"/>
              <w:left w:val="single" w:color="auto" w:sz="4" w:space="0"/>
              <w:bottom w:val="single" w:color="auto" w:sz="4" w:space="0"/>
              <w:right w:val="single" w:color="auto" w:sz="4" w:space="0"/>
            </w:tcBorders>
            <w:vAlign w:val="center"/>
          </w:tcPr>
          <w:p w14:paraId="4C344C87">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本人长期患有慢性病，需长期服药维持，医保不能报销（须有医院病历证明，一年自负药费超过3000元）</w:t>
            </w:r>
          </w:p>
        </w:tc>
        <w:tc>
          <w:tcPr>
            <w:tcW w:w="564" w:type="dxa"/>
            <w:tcBorders>
              <w:top w:val="single" w:color="auto" w:sz="4" w:space="0"/>
              <w:left w:val="single" w:color="auto" w:sz="4" w:space="0"/>
              <w:bottom w:val="single" w:color="auto" w:sz="4" w:space="0"/>
              <w:right w:val="single" w:color="auto" w:sz="4" w:space="0"/>
            </w:tcBorders>
            <w:vAlign w:val="center"/>
          </w:tcPr>
          <w:p w14:paraId="19491FD1">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50</w:t>
            </w:r>
          </w:p>
        </w:tc>
        <w:tc>
          <w:tcPr>
            <w:tcW w:w="309" w:type="dxa"/>
            <w:tcBorders>
              <w:top w:val="single" w:color="auto" w:sz="4" w:space="0"/>
              <w:left w:val="single" w:color="auto" w:sz="4" w:space="0"/>
              <w:bottom w:val="single" w:color="auto" w:sz="4" w:space="0"/>
              <w:right w:val="single" w:color="auto" w:sz="4" w:space="0"/>
            </w:tcBorders>
            <w:vAlign w:val="center"/>
          </w:tcPr>
          <w:p w14:paraId="28115B3F">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53DF98F9">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79B24437">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04A2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95" w:hRule="atLeast"/>
          <w:jc w:val="center"/>
        </w:trPr>
        <w:tc>
          <w:tcPr>
            <w:tcW w:w="1019" w:type="dxa"/>
            <w:vMerge w:val="continue"/>
            <w:tcBorders>
              <w:top w:val="single" w:color="auto" w:sz="4" w:space="0"/>
              <w:left w:val="single" w:color="auto" w:sz="4" w:space="0"/>
              <w:bottom w:val="single" w:color="auto" w:sz="4" w:space="0"/>
              <w:right w:val="single" w:color="auto" w:sz="4" w:space="0"/>
            </w:tcBorders>
            <w:vAlign w:val="center"/>
          </w:tcPr>
          <w:p w14:paraId="6451A769">
            <w:pPr>
              <w:keepNext w:val="0"/>
              <w:keepLines w:val="0"/>
              <w:pageBreakBefore w:val="0"/>
              <w:widowControl/>
              <w:kinsoku/>
              <w:wordWrap/>
              <w:overflowPunct/>
              <w:topLinePunct w:val="0"/>
              <w:autoSpaceDE/>
              <w:autoSpaceDN/>
              <w:bidi w:val="0"/>
              <w:adjustRightInd w:val="0"/>
              <w:snapToGrid w:val="0"/>
              <w:jc w:val="left"/>
              <w:textAlignment w:val="auto"/>
              <w:rPr>
                <w:rFonts w:ascii="宋体" w:hAnsi="宋体"/>
                <w:color w:val="auto"/>
                <w:sz w:val="18"/>
                <w:szCs w:val="18"/>
              </w:rPr>
            </w:pPr>
          </w:p>
        </w:tc>
        <w:tc>
          <w:tcPr>
            <w:tcW w:w="2961" w:type="dxa"/>
            <w:gridSpan w:val="2"/>
            <w:tcBorders>
              <w:top w:val="single" w:color="auto" w:sz="4" w:space="0"/>
              <w:left w:val="single" w:color="auto" w:sz="4" w:space="0"/>
              <w:bottom w:val="single" w:color="auto" w:sz="4" w:space="0"/>
              <w:right w:val="single" w:color="auto" w:sz="4" w:space="0"/>
            </w:tcBorders>
            <w:vAlign w:val="center"/>
          </w:tcPr>
          <w:p w14:paraId="447772FE">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农村父母离异，并且确实只有一方赡养（或走失、下落不明）</w:t>
            </w:r>
            <w:r>
              <w:rPr>
                <w:rFonts w:hint="eastAsia" w:ascii="宋体" w:hAnsi="宋体"/>
                <w:color w:val="auto"/>
                <w:sz w:val="18"/>
                <w:szCs w:val="18"/>
                <w:lang w:eastAsia="zh-CN"/>
              </w:rPr>
              <w:t>（提供村委证明）</w:t>
            </w:r>
          </w:p>
        </w:tc>
        <w:tc>
          <w:tcPr>
            <w:tcW w:w="564" w:type="dxa"/>
            <w:tcBorders>
              <w:top w:val="single" w:color="auto" w:sz="4" w:space="0"/>
              <w:left w:val="single" w:color="auto" w:sz="4" w:space="0"/>
              <w:bottom w:val="single" w:color="auto" w:sz="4" w:space="0"/>
              <w:right w:val="single" w:color="auto" w:sz="4" w:space="0"/>
            </w:tcBorders>
            <w:vAlign w:val="center"/>
          </w:tcPr>
          <w:p w14:paraId="0DE60D51">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20</w:t>
            </w:r>
          </w:p>
        </w:tc>
        <w:tc>
          <w:tcPr>
            <w:tcW w:w="309" w:type="dxa"/>
            <w:tcBorders>
              <w:top w:val="single" w:color="auto" w:sz="4" w:space="0"/>
              <w:left w:val="single" w:color="auto" w:sz="4" w:space="0"/>
              <w:bottom w:val="single" w:color="auto" w:sz="4" w:space="0"/>
              <w:right w:val="single" w:color="auto" w:sz="4" w:space="0"/>
            </w:tcBorders>
            <w:vAlign w:val="center"/>
          </w:tcPr>
          <w:p w14:paraId="6F4DC341">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380D1B31">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6A8EA5DD">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1BFA3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1019" w:type="dxa"/>
            <w:tcBorders>
              <w:top w:val="single" w:color="auto" w:sz="4" w:space="0"/>
              <w:left w:val="single" w:color="auto" w:sz="4" w:space="0"/>
              <w:bottom w:val="single" w:color="auto" w:sz="4" w:space="0"/>
              <w:right w:val="single" w:color="auto" w:sz="4" w:space="0"/>
            </w:tcBorders>
            <w:vAlign w:val="center"/>
          </w:tcPr>
          <w:p w14:paraId="249B707B">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r>
              <w:rPr>
                <w:rFonts w:hint="eastAsia" w:ascii="宋体" w:hAnsi="宋体"/>
                <w:color w:val="auto"/>
                <w:sz w:val="18"/>
                <w:szCs w:val="18"/>
              </w:rPr>
              <w:t>1</w:t>
            </w:r>
            <w:r>
              <w:rPr>
                <w:rFonts w:hint="eastAsia" w:ascii="宋体" w:hAnsi="宋体"/>
                <w:color w:val="auto"/>
                <w:sz w:val="18"/>
                <w:szCs w:val="18"/>
                <w:lang w:val="en-US" w:eastAsia="zh-CN"/>
              </w:rPr>
              <w:t>2</w:t>
            </w:r>
            <w:r>
              <w:rPr>
                <w:rFonts w:hint="eastAsia" w:ascii="宋体" w:hAnsi="宋体"/>
                <w:color w:val="auto"/>
                <w:sz w:val="18"/>
                <w:szCs w:val="18"/>
              </w:rPr>
              <w:t>、</w:t>
            </w:r>
            <w:r>
              <w:rPr>
                <w:rFonts w:hint="eastAsia" w:ascii="宋体" w:hAnsi="宋体"/>
                <w:color w:val="auto"/>
                <w:sz w:val="18"/>
                <w:szCs w:val="18"/>
                <w:lang w:val="en-US" w:eastAsia="zh-CN"/>
              </w:rPr>
              <w:t>其他</w:t>
            </w:r>
            <w:r>
              <w:rPr>
                <w:rFonts w:hint="eastAsia" w:ascii="宋体" w:hAnsi="宋体"/>
                <w:color w:val="auto"/>
                <w:sz w:val="18"/>
                <w:szCs w:val="18"/>
              </w:rPr>
              <w:t>情况</w:t>
            </w:r>
          </w:p>
        </w:tc>
        <w:tc>
          <w:tcPr>
            <w:tcW w:w="2961" w:type="dxa"/>
            <w:gridSpan w:val="2"/>
            <w:tcBorders>
              <w:top w:val="single" w:color="auto" w:sz="4" w:space="0"/>
              <w:left w:val="single" w:color="auto" w:sz="4" w:space="0"/>
              <w:bottom w:val="single" w:color="auto" w:sz="4" w:space="0"/>
              <w:right w:val="single" w:color="auto" w:sz="4" w:space="0"/>
            </w:tcBorders>
            <w:vAlign w:val="center"/>
          </w:tcPr>
          <w:p w14:paraId="54B7F4D9">
            <w:pPr>
              <w:keepNext w:val="0"/>
              <w:keepLines w:val="0"/>
              <w:pageBreakBefore w:val="0"/>
              <w:kinsoku/>
              <w:wordWrap/>
              <w:overflowPunct/>
              <w:topLinePunct w:val="0"/>
              <w:autoSpaceDE/>
              <w:autoSpaceDN/>
              <w:bidi w:val="0"/>
              <w:adjustRightInd w:val="0"/>
              <w:snapToGrid w:val="0"/>
              <w:textAlignment w:val="auto"/>
              <w:rPr>
                <w:rFonts w:hint="eastAsia" w:ascii="宋体" w:hAnsi="宋体" w:eastAsia="宋体"/>
                <w:color w:val="auto"/>
                <w:sz w:val="18"/>
                <w:szCs w:val="18"/>
                <w:lang w:eastAsia="zh-CN"/>
              </w:rPr>
            </w:pPr>
          </w:p>
        </w:tc>
        <w:tc>
          <w:tcPr>
            <w:tcW w:w="564" w:type="dxa"/>
            <w:tcBorders>
              <w:top w:val="single" w:color="auto" w:sz="4" w:space="0"/>
              <w:left w:val="single" w:color="auto" w:sz="4" w:space="0"/>
              <w:bottom w:val="single" w:color="auto" w:sz="4" w:space="0"/>
              <w:right w:val="single" w:color="auto" w:sz="4" w:space="0"/>
            </w:tcBorders>
            <w:vAlign w:val="center"/>
          </w:tcPr>
          <w:p w14:paraId="30936CBE">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val="en-US" w:eastAsia="zh-CN"/>
              </w:rPr>
              <w:t>15</w:t>
            </w:r>
          </w:p>
        </w:tc>
        <w:tc>
          <w:tcPr>
            <w:tcW w:w="309" w:type="dxa"/>
            <w:tcBorders>
              <w:top w:val="single" w:color="auto" w:sz="4" w:space="0"/>
              <w:left w:val="single" w:color="auto" w:sz="4" w:space="0"/>
              <w:bottom w:val="single" w:color="auto" w:sz="4" w:space="0"/>
              <w:right w:val="single" w:color="auto" w:sz="4" w:space="0"/>
            </w:tcBorders>
            <w:vAlign w:val="center"/>
          </w:tcPr>
          <w:p w14:paraId="6F061868">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53FF3F22">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26F26343">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2D29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2" w:hRule="atLeast"/>
          <w:jc w:val="center"/>
        </w:trPr>
        <w:tc>
          <w:tcPr>
            <w:tcW w:w="1019" w:type="dxa"/>
            <w:tcBorders>
              <w:top w:val="single" w:color="auto" w:sz="4" w:space="0"/>
              <w:left w:val="single" w:color="auto" w:sz="4" w:space="0"/>
              <w:bottom w:val="single" w:color="auto" w:sz="4" w:space="0"/>
              <w:right w:val="single" w:color="auto" w:sz="4" w:space="0"/>
            </w:tcBorders>
            <w:vAlign w:val="center"/>
          </w:tcPr>
          <w:p w14:paraId="718ED23F">
            <w:pPr>
              <w:keepNext w:val="0"/>
              <w:keepLines w:val="0"/>
              <w:pageBreakBefore w:val="0"/>
              <w:kinsoku/>
              <w:wordWrap/>
              <w:overflowPunct/>
              <w:topLinePunct w:val="0"/>
              <w:autoSpaceDE/>
              <w:autoSpaceDN/>
              <w:bidi w:val="0"/>
              <w:adjustRightInd w:val="0"/>
              <w:snapToGrid w:val="0"/>
              <w:textAlignment w:val="auto"/>
              <w:rPr>
                <w:rFonts w:ascii="宋体" w:hAnsi="宋体"/>
                <w:b/>
                <w:color w:val="auto"/>
                <w:sz w:val="18"/>
                <w:szCs w:val="18"/>
              </w:rPr>
            </w:pPr>
            <w:r>
              <w:rPr>
                <w:rFonts w:hint="eastAsia" w:ascii="宋体" w:hAnsi="宋体"/>
                <w:b/>
                <w:color w:val="auto"/>
                <w:sz w:val="18"/>
                <w:szCs w:val="18"/>
              </w:rPr>
              <w:t xml:space="preserve">合计： </w:t>
            </w:r>
          </w:p>
        </w:tc>
        <w:tc>
          <w:tcPr>
            <w:tcW w:w="2961" w:type="dxa"/>
            <w:gridSpan w:val="2"/>
            <w:tcBorders>
              <w:top w:val="single" w:color="auto" w:sz="4" w:space="0"/>
              <w:left w:val="single" w:color="auto" w:sz="4" w:space="0"/>
              <w:bottom w:val="single" w:color="auto" w:sz="4" w:space="0"/>
              <w:right w:val="single" w:color="auto" w:sz="4" w:space="0"/>
            </w:tcBorders>
            <w:vAlign w:val="center"/>
          </w:tcPr>
          <w:p w14:paraId="3BD8ADA4">
            <w:pPr>
              <w:keepNext w:val="0"/>
              <w:keepLines w:val="0"/>
              <w:pageBreakBefore w:val="0"/>
              <w:kinsoku/>
              <w:wordWrap/>
              <w:overflowPunct/>
              <w:topLinePunct w:val="0"/>
              <w:autoSpaceDE/>
              <w:autoSpaceDN/>
              <w:bidi w:val="0"/>
              <w:adjustRightInd w:val="0"/>
              <w:snapToGrid w:val="0"/>
              <w:textAlignment w:val="auto"/>
              <w:rPr>
                <w:rFonts w:ascii="宋体" w:hAnsi="宋体"/>
                <w:color w:val="auto"/>
                <w:sz w:val="18"/>
                <w:szCs w:val="18"/>
              </w:rPr>
            </w:pPr>
          </w:p>
        </w:tc>
        <w:tc>
          <w:tcPr>
            <w:tcW w:w="564" w:type="dxa"/>
            <w:tcBorders>
              <w:top w:val="single" w:color="auto" w:sz="4" w:space="0"/>
              <w:left w:val="single" w:color="auto" w:sz="4" w:space="0"/>
              <w:bottom w:val="single" w:color="auto" w:sz="4" w:space="0"/>
              <w:right w:val="single" w:color="auto" w:sz="4" w:space="0"/>
            </w:tcBorders>
            <w:vAlign w:val="center"/>
          </w:tcPr>
          <w:p w14:paraId="18D4144C">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09" w:type="dxa"/>
            <w:tcBorders>
              <w:top w:val="single" w:color="auto" w:sz="4" w:space="0"/>
              <w:left w:val="single" w:color="auto" w:sz="4" w:space="0"/>
              <w:bottom w:val="single" w:color="auto" w:sz="4" w:space="0"/>
              <w:right w:val="single" w:color="auto" w:sz="4" w:space="0"/>
            </w:tcBorders>
            <w:vAlign w:val="center"/>
          </w:tcPr>
          <w:p w14:paraId="1B6F29D1">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355" w:type="dxa"/>
            <w:tcBorders>
              <w:top w:val="single" w:color="auto" w:sz="4" w:space="0"/>
              <w:left w:val="single" w:color="auto" w:sz="4" w:space="0"/>
              <w:bottom w:val="single" w:color="auto" w:sz="4" w:space="0"/>
              <w:right w:val="single" w:color="auto" w:sz="4" w:space="0"/>
            </w:tcBorders>
            <w:vAlign w:val="center"/>
          </w:tcPr>
          <w:p w14:paraId="5A34FCE4">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c>
          <w:tcPr>
            <w:tcW w:w="461" w:type="dxa"/>
            <w:tcBorders>
              <w:top w:val="single" w:color="auto" w:sz="4" w:space="0"/>
              <w:left w:val="single" w:color="auto" w:sz="4" w:space="0"/>
              <w:bottom w:val="single" w:color="auto" w:sz="4" w:space="0"/>
              <w:right w:val="single" w:color="auto" w:sz="4" w:space="0"/>
            </w:tcBorders>
            <w:vAlign w:val="center"/>
          </w:tcPr>
          <w:p w14:paraId="7BA1F6AD">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r w14:paraId="248D0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20" w:hRule="atLeast"/>
          <w:jc w:val="center"/>
        </w:trPr>
        <w:tc>
          <w:tcPr>
            <w:tcW w:w="1019" w:type="dxa"/>
            <w:tcBorders>
              <w:top w:val="single" w:color="auto" w:sz="4" w:space="0"/>
              <w:left w:val="single" w:color="auto" w:sz="4" w:space="0"/>
              <w:bottom w:val="single" w:color="auto" w:sz="4" w:space="0"/>
              <w:right w:val="single" w:color="auto" w:sz="4" w:space="0"/>
            </w:tcBorders>
            <w:vAlign w:val="center"/>
          </w:tcPr>
          <w:p w14:paraId="53CC91AC">
            <w:pPr>
              <w:keepNext w:val="0"/>
              <w:keepLines w:val="0"/>
              <w:pageBreakBefore w:val="0"/>
              <w:kinsoku/>
              <w:wordWrap/>
              <w:overflowPunct/>
              <w:topLinePunct w:val="0"/>
              <w:autoSpaceDE/>
              <w:autoSpaceDN/>
              <w:bidi w:val="0"/>
              <w:adjustRightInd w:val="0"/>
              <w:snapToGrid w:val="0"/>
              <w:textAlignment w:val="auto"/>
              <w:rPr>
                <w:rFonts w:ascii="宋体" w:hAnsi="宋体"/>
                <w:b/>
                <w:color w:val="auto"/>
                <w:sz w:val="18"/>
                <w:szCs w:val="18"/>
              </w:rPr>
            </w:pPr>
            <w:r>
              <w:rPr>
                <w:rFonts w:hint="eastAsia" w:ascii="宋体" w:hAnsi="宋体"/>
                <w:b/>
                <w:color w:val="auto"/>
                <w:sz w:val="18"/>
                <w:szCs w:val="18"/>
              </w:rPr>
              <w:t>最终得分</w:t>
            </w:r>
          </w:p>
        </w:tc>
        <w:tc>
          <w:tcPr>
            <w:tcW w:w="4650" w:type="dxa"/>
            <w:gridSpan w:val="6"/>
            <w:tcBorders>
              <w:top w:val="single" w:color="auto" w:sz="4" w:space="0"/>
              <w:left w:val="single" w:color="auto" w:sz="4" w:space="0"/>
              <w:bottom w:val="single" w:color="auto" w:sz="4" w:space="0"/>
              <w:right w:val="single" w:color="auto" w:sz="4" w:space="0"/>
            </w:tcBorders>
            <w:vAlign w:val="center"/>
          </w:tcPr>
          <w:p w14:paraId="023E9D24">
            <w:pPr>
              <w:keepNext w:val="0"/>
              <w:keepLines w:val="0"/>
              <w:pageBreakBefore w:val="0"/>
              <w:kinsoku/>
              <w:wordWrap/>
              <w:overflowPunct/>
              <w:topLinePunct w:val="0"/>
              <w:autoSpaceDE/>
              <w:autoSpaceDN/>
              <w:bidi w:val="0"/>
              <w:adjustRightInd w:val="0"/>
              <w:snapToGrid w:val="0"/>
              <w:jc w:val="center"/>
              <w:textAlignment w:val="auto"/>
              <w:rPr>
                <w:rFonts w:ascii="宋体" w:hAnsi="宋体"/>
                <w:color w:val="auto"/>
                <w:sz w:val="18"/>
                <w:szCs w:val="18"/>
              </w:rPr>
            </w:pPr>
          </w:p>
        </w:tc>
      </w:tr>
    </w:tbl>
    <w:p w14:paraId="77C5F31B">
      <w:pPr>
        <w:rPr>
          <w:rFonts w:hint="eastAsia" w:ascii="宋体" w:hAnsi="宋体" w:eastAsia="宋体" w:cs="宋体"/>
          <w:color w:val="FF0000"/>
          <w:sz w:val="18"/>
          <w:szCs w:val="18"/>
          <w:lang w:val="en-US" w:eastAsia="zh-CN"/>
        </w:rPr>
      </w:pPr>
    </w:p>
    <w:p w14:paraId="068D4F35">
      <w:pPr>
        <w:pStyle w:val="2"/>
        <w:jc w:val="both"/>
        <w:outlineLvl w:val="9"/>
        <w:rPr>
          <w:rFonts w:hint="eastAsia" w:ascii="方正书宋简体" w:hAnsi="方正书宋简体" w:eastAsia="方正书宋简体" w:cs="方正书宋简体"/>
          <w:bCs w:val="0"/>
          <w:color w:val="auto"/>
          <w:kern w:val="2"/>
          <w:sz w:val="21"/>
          <w:szCs w:val="21"/>
          <w:lang w:val="en-US" w:eastAsia="zh-CN" w:bidi="ar-SA"/>
        </w:rPr>
      </w:pPr>
      <w:r>
        <w:rPr>
          <w:rFonts w:hint="eastAsia" w:ascii="方正书宋简体" w:hAnsi="方正书宋简体" w:eastAsia="方正书宋简体" w:cs="方正书宋简体"/>
          <w:bCs w:val="0"/>
          <w:color w:val="auto"/>
          <w:kern w:val="2"/>
          <w:sz w:val="21"/>
          <w:szCs w:val="21"/>
          <w:lang w:val="en-US" w:eastAsia="zh-CN" w:bidi="ar-SA"/>
        </w:rPr>
        <w:br w:type="page"/>
      </w:r>
    </w:p>
    <w:p w14:paraId="09067C0B">
      <w:pPr>
        <w:pStyle w:val="2"/>
        <w:rPr>
          <w:rFonts w:hint="eastAsia"/>
          <w:lang w:val="en-US" w:eastAsia="zh-CN"/>
        </w:rPr>
      </w:pPr>
      <w:bookmarkStart w:id="43" w:name="_Toc19132"/>
      <w:bookmarkStart w:id="44" w:name="_Toc9542"/>
      <w:bookmarkStart w:id="45" w:name="_Toc21338"/>
      <w:bookmarkStart w:id="46" w:name="_Toc30949"/>
      <w:bookmarkStart w:id="47" w:name="_Toc26342"/>
      <w:bookmarkStart w:id="48" w:name="_Toc11442"/>
      <w:bookmarkStart w:id="49" w:name="_Toc5546"/>
      <w:bookmarkStart w:id="50" w:name="_Toc10778"/>
      <w:r>
        <w:rPr>
          <w:rFonts w:hint="eastAsia"/>
          <w:lang w:val="en-US" w:eastAsia="zh-CN"/>
        </w:rPr>
        <w:t>安徽电气工程职业技术学院</w:t>
      </w:r>
      <w:bookmarkEnd w:id="43"/>
      <w:bookmarkEnd w:id="44"/>
      <w:bookmarkEnd w:id="45"/>
      <w:bookmarkEnd w:id="46"/>
      <w:bookmarkEnd w:id="47"/>
      <w:bookmarkEnd w:id="48"/>
      <w:bookmarkEnd w:id="49"/>
      <w:bookmarkEnd w:id="50"/>
      <w:bookmarkStart w:id="51" w:name="安徽电气工程职业技术学院国家奖学金评审办法"/>
    </w:p>
    <w:p w14:paraId="102A86FA">
      <w:pPr>
        <w:pStyle w:val="2"/>
        <w:rPr>
          <w:rFonts w:hint="eastAsia"/>
          <w:lang w:val="en-US" w:eastAsia="zh-CN"/>
        </w:rPr>
      </w:pPr>
      <w:bookmarkStart w:id="52" w:name="_Toc28352"/>
      <w:bookmarkStart w:id="53" w:name="_Toc32638"/>
      <w:bookmarkStart w:id="54" w:name="_Toc20748"/>
      <w:bookmarkStart w:id="55" w:name="_Toc1976"/>
      <w:bookmarkStart w:id="56" w:name="_Toc28940"/>
      <w:bookmarkStart w:id="57" w:name="_Toc20606"/>
      <w:bookmarkStart w:id="58" w:name="_Toc3441"/>
      <w:bookmarkStart w:id="59" w:name="_Toc18559"/>
      <w:r>
        <w:rPr>
          <w:rFonts w:hint="eastAsia"/>
          <w:lang w:val="en-US" w:eastAsia="zh-CN"/>
        </w:rPr>
        <w:t>国家奖学金评审办法</w:t>
      </w:r>
      <w:bookmarkEnd w:id="52"/>
      <w:bookmarkEnd w:id="53"/>
      <w:bookmarkEnd w:id="54"/>
      <w:bookmarkEnd w:id="55"/>
      <w:bookmarkEnd w:id="56"/>
      <w:bookmarkEnd w:id="57"/>
      <w:bookmarkEnd w:id="58"/>
      <w:bookmarkEnd w:id="59"/>
    </w:p>
    <w:bookmarkEnd w:id="51"/>
    <w:p w14:paraId="27F9F778">
      <w:pPr>
        <w:pStyle w:val="2"/>
        <w:outlineLvl w:val="9"/>
        <w:rPr>
          <w:rFonts w:hint="eastAsia"/>
        </w:rPr>
      </w:pPr>
    </w:p>
    <w:p w14:paraId="75C8BD18">
      <w:pPr>
        <w:pStyle w:val="3"/>
        <w:rPr>
          <w:rFonts w:hint="eastAsia"/>
        </w:rPr>
      </w:pPr>
      <w:bookmarkStart w:id="60" w:name="_Toc18188"/>
      <w:bookmarkStart w:id="61" w:name="_Toc23910"/>
      <w:r>
        <w:rPr>
          <w:rFonts w:hint="eastAsia"/>
        </w:rPr>
        <w:t>第一章  总  则</w:t>
      </w:r>
      <w:bookmarkEnd w:id="60"/>
      <w:bookmarkEnd w:id="61"/>
    </w:p>
    <w:p w14:paraId="4AFC5FE6">
      <w:pPr>
        <w:rPr>
          <w:rFonts w:hint="eastAsia"/>
        </w:rPr>
      </w:pPr>
    </w:p>
    <w:p w14:paraId="69810785">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第一条</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为认真做好国家奖学金的评审工作，激励学生勤奋学习、奋发进取，达到德、智、体、美全面发展，依据教育部</w:t>
      </w:r>
      <w:r>
        <w:rPr>
          <w:rFonts w:hint="eastAsia" w:ascii="方正书宋简体" w:hAnsi="方正书宋简体" w:eastAsia="方正书宋简体" w:cs="方正书宋简体"/>
          <w:color w:val="auto"/>
          <w:sz w:val="21"/>
          <w:szCs w:val="21"/>
          <w:lang w:eastAsia="zh-CN"/>
        </w:rPr>
        <w:t>、</w:t>
      </w:r>
      <w:r>
        <w:rPr>
          <w:rFonts w:hint="eastAsia" w:ascii="方正书宋简体" w:hAnsi="方正书宋简体" w:eastAsia="方正书宋简体" w:cs="方正书宋简体"/>
          <w:color w:val="auto"/>
          <w:sz w:val="21"/>
          <w:szCs w:val="21"/>
        </w:rPr>
        <w:t>财政部关于《本专科生国家奖学金评审办法》</w:t>
      </w:r>
      <w:r>
        <w:rPr>
          <w:rFonts w:hint="eastAsia" w:ascii="方正书宋简体" w:hAnsi="方正书宋简体" w:eastAsia="方正书宋简体" w:cs="方正书宋简体"/>
          <w:color w:val="auto"/>
          <w:sz w:val="21"/>
          <w:szCs w:val="21"/>
          <w:lang w:eastAsia="zh-CN"/>
        </w:rPr>
        <w:t>（教财函〔2019〕105号）</w:t>
      </w:r>
      <w:r>
        <w:rPr>
          <w:rFonts w:hint="eastAsia" w:ascii="方正书宋简体" w:hAnsi="方正书宋简体" w:eastAsia="方正书宋简体" w:cs="方正书宋简体"/>
          <w:color w:val="auto"/>
          <w:sz w:val="21"/>
          <w:szCs w:val="21"/>
        </w:rPr>
        <w:t>等文件精神，结合学校实际，制定本办法。</w:t>
      </w:r>
    </w:p>
    <w:p w14:paraId="22393C89">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第二条</w:t>
      </w:r>
      <w:r>
        <w:rPr>
          <w:rFonts w:hint="eastAsia" w:ascii="方正书宋简体" w:hAnsi="方正书宋简体" w:eastAsia="方正书宋简体" w:cs="方正书宋简体"/>
          <w:b/>
          <w:color w:val="auto"/>
          <w:sz w:val="21"/>
          <w:szCs w:val="21"/>
          <w:lang w:val="en-US" w:eastAsia="zh-CN"/>
        </w:rPr>
        <w:t xml:space="preserve">  </w:t>
      </w:r>
      <w:r>
        <w:rPr>
          <w:rFonts w:hint="eastAsia" w:ascii="方正书宋简体" w:hAnsi="方正书宋简体" w:eastAsia="方正书宋简体" w:cs="方正书宋简体"/>
          <w:color w:val="auto"/>
          <w:sz w:val="21"/>
          <w:szCs w:val="21"/>
        </w:rPr>
        <w:t>国家奖学金由中央政府出资设立，用于奖励高校全日制学生中特别优秀的学生。</w:t>
      </w:r>
    </w:p>
    <w:p w14:paraId="723F0852">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第三条</w:t>
      </w:r>
      <w:r>
        <w:rPr>
          <w:rFonts w:hint="eastAsia" w:ascii="方正书宋简体" w:hAnsi="方正书宋简体" w:eastAsia="方正书宋简体" w:cs="方正书宋简体"/>
          <w:color w:val="auto"/>
          <w:sz w:val="21"/>
          <w:szCs w:val="21"/>
        </w:rPr>
        <w:t xml:space="preserve">  国家奖学金的奖励标准为每人每年8000元。</w:t>
      </w:r>
    </w:p>
    <w:p w14:paraId="5B2F11E8">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第四条</w:t>
      </w:r>
      <w:r>
        <w:rPr>
          <w:rFonts w:hint="eastAsia" w:ascii="方正书宋简体" w:hAnsi="方正书宋简体" w:eastAsia="方正书宋简体" w:cs="方正书宋简体"/>
          <w:color w:val="auto"/>
          <w:sz w:val="21"/>
          <w:szCs w:val="21"/>
        </w:rPr>
        <w:t xml:space="preserve">  中央主管部门和省级财政、教育部门向学院下达国家奖学金分配名额，学院依据奖学金分配名额实施等额评审工作。</w:t>
      </w:r>
    </w:p>
    <w:p w14:paraId="2FCB2B17">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4F3A2925">
      <w:pPr>
        <w:pStyle w:val="3"/>
        <w:rPr>
          <w:rFonts w:hint="eastAsia"/>
        </w:rPr>
      </w:pPr>
      <w:bookmarkStart w:id="62" w:name="_Toc24650"/>
      <w:bookmarkStart w:id="63" w:name="_Toc10058"/>
      <w:r>
        <w:rPr>
          <w:rFonts w:hint="eastAsia"/>
        </w:rPr>
        <w:t>第二章  国家奖学金的申请条件</w:t>
      </w:r>
      <w:bookmarkEnd w:id="62"/>
      <w:bookmarkEnd w:id="63"/>
    </w:p>
    <w:p w14:paraId="5BF55C17">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color w:val="auto"/>
          <w:sz w:val="21"/>
          <w:szCs w:val="21"/>
        </w:rPr>
      </w:pPr>
    </w:p>
    <w:p w14:paraId="6FF6B749">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 xml:space="preserve">第五条 </w:t>
      </w:r>
      <w:r>
        <w:rPr>
          <w:rFonts w:hint="eastAsia" w:ascii="方正书宋简体" w:hAnsi="方正书宋简体" w:eastAsia="方正书宋简体" w:cs="方正书宋简体"/>
          <w:color w:val="auto"/>
          <w:sz w:val="21"/>
          <w:szCs w:val="21"/>
        </w:rPr>
        <w:t xml:space="preserve"> 基本条件</w:t>
      </w:r>
    </w:p>
    <w:p w14:paraId="4B93F639">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1</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热爱社会主义祖国，拥护中国共产党的领导；</w:t>
      </w:r>
    </w:p>
    <w:p w14:paraId="7979A4FE">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2</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遵守宪法和法律，遵守学院规章制度；</w:t>
      </w:r>
    </w:p>
    <w:p w14:paraId="450FCD26">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3</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诚实守信，道德品质优良；</w:t>
      </w:r>
    </w:p>
    <w:p w14:paraId="619BAF9B">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4</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在校期间学习成绩优异。</w:t>
      </w:r>
      <w:r>
        <w:rPr>
          <w:rFonts w:hint="eastAsia" w:ascii="方正书宋简体" w:hAnsi="方正书宋简体" w:eastAsia="方正书宋简体" w:cs="方正书宋简体"/>
          <w:color w:val="auto"/>
          <w:kern w:val="0"/>
          <w:sz w:val="21"/>
          <w:szCs w:val="21"/>
        </w:rPr>
        <w:t>获得学院一等以上奖学金和院级以上表彰；积极参与社会实践，</w:t>
      </w:r>
      <w:r>
        <w:rPr>
          <w:rFonts w:hint="eastAsia" w:ascii="方正书宋简体" w:hAnsi="方正书宋简体" w:eastAsia="方正书宋简体" w:cs="方正书宋简体"/>
          <w:color w:val="auto"/>
          <w:sz w:val="21"/>
          <w:szCs w:val="21"/>
        </w:rPr>
        <w:t>创新能力、</w:t>
      </w:r>
      <w:r>
        <w:rPr>
          <w:rFonts w:hint="eastAsia" w:ascii="方正书宋简体" w:hAnsi="方正书宋简体" w:eastAsia="方正书宋简体" w:cs="方正书宋简体"/>
          <w:color w:val="auto"/>
          <w:kern w:val="0"/>
          <w:sz w:val="21"/>
          <w:szCs w:val="21"/>
        </w:rPr>
        <w:t>综合素质</w:t>
      </w:r>
      <w:r>
        <w:rPr>
          <w:rFonts w:hint="eastAsia" w:ascii="方正书宋简体" w:hAnsi="方正书宋简体" w:eastAsia="方正书宋简体" w:cs="方正书宋简体"/>
          <w:color w:val="auto"/>
          <w:sz w:val="21"/>
          <w:szCs w:val="21"/>
        </w:rPr>
        <w:t>等方面特别突出；</w:t>
      </w:r>
    </w:p>
    <w:p w14:paraId="28F77C9D">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5</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kern w:val="0"/>
          <w:sz w:val="21"/>
          <w:szCs w:val="21"/>
        </w:rPr>
        <w:t>关心集体，热爱劳动，尊敬师长，团结同学，在各方面起模范带头作用；</w:t>
      </w:r>
      <w:r>
        <w:rPr>
          <w:rFonts w:hint="eastAsia" w:ascii="方正书宋简体" w:hAnsi="方正书宋简体" w:eastAsia="方正书宋简体" w:cs="方正书宋简体"/>
          <w:color w:val="auto"/>
          <w:sz w:val="21"/>
          <w:szCs w:val="21"/>
        </w:rPr>
        <w:t xml:space="preserve"> </w:t>
      </w:r>
    </w:p>
    <w:p w14:paraId="53056D2C">
      <w:pPr>
        <w:keepNext w:val="0"/>
        <w:keepLines w:val="0"/>
        <w:pageBreakBefore w:val="0"/>
        <w:widowControl/>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color w:val="auto"/>
          <w:kern w:val="0"/>
          <w:sz w:val="21"/>
          <w:szCs w:val="21"/>
        </w:rPr>
      </w:pPr>
      <w:r>
        <w:rPr>
          <w:rFonts w:hint="eastAsia" w:ascii="方正书宋简体" w:hAnsi="方正书宋简体" w:eastAsia="方正书宋简体" w:cs="方正书宋简体"/>
          <w:color w:val="auto"/>
          <w:kern w:val="0"/>
          <w:sz w:val="21"/>
          <w:szCs w:val="21"/>
        </w:rPr>
        <w:t>6</w:t>
      </w:r>
      <w:r>
        <w:rPr>
          <w:rFonts w:hint="eastAsia" w:ascii="方正书宋简体" w:hAnsi="方正书宋简体" w:eastAsia="方正书宋简体" w:cs="方正书宋简体"/>
          <w:color w:val="auto"/>
          <w:kern w:val="0"/>
          <w:sz w:val="21"/>
          <w:szCs w:val="21"/>
          <w:lang w:val="en-US" w:eastAsia="zh-CN"/>
        </w:rPr>
        <w:t>.</w:t>
      </w:r>
      <w:r>
        <w:rPr>
          <w:rFonts w:hint="eastAsia" w:ascii="方正书宋简体" w:hAnsi="方正书宋简体" w:eastAsia="方正书宋简体" w:cs="方正书宋简体"/>
          <w:color w:val="auto"/>
          <w:sz w:val="21"/>
          <w:szCs w:val="21"/>
        </w:rPr>
        <w:t>必须是学院在校生中二年级以上（含二年级）的学生。</w:t>
      </w:r>
    </w:p>
    <w:p w14:paraId="48A3CA08">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 xml:space="preserve">第六条 </w:t>
      </w:r>
      <w:r>
        <w:rPr>
          <w:rFonts w:hint="eastAsia" w:ascii="方正书宋简体" w:hAnsi="方正书宋简体" w:eastAsia="方正书宋简体" w:cs="方正书宋简体"/>
          <w:color w:val="auto"/>
          <w:sz w:val="21"/>
          <w:szCs w:val="21"/>
        </w:rPr>
        <w:t xml:space="preserve"> 在符合基本条件的前提下，申请人还应满足以下具体条件：</w:t>
      </w:r>
    </w:p>
    <w:p w14:paraId="48AD0820">
      <w:pPr>
        <w:keepNext w:val="0"/>
        <w:keepLines w:val="0"/>
        <w:pageBreakBefore w:val="0"/>
        <w:kinsoku/>
        <w:wordWrap/>
        <w:overflowPunct/>
        <w:topLinePunct w:val="0"/>
        <w:autoSpaceDE/>
        <w:autoSpaceDN/>
        <w:bidi w:val="0"/>
        <w:adjustRightInd w:val="0"/>
        <w:snapToGrid w:val="0"/>
        <w:spacing w:line="400" w:lineRule="exact"/>
        <w:ind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（一）年级要求：二年级及以上年级学生方可申请国家奖学金。</w:t>
      </w:r>
    </w:p>
    <w:p w14:paraId="7707A541">
      <w:pPr>
        <w:keepNext w:val="0"/>
        <w:keepLines w:val="0"/>
        <w:pageBreakBefore w:val="0"/>
        <w:kinsoku/>
        <w:wordWrap/>
        <w:overflowPunct/>
        <w:topLinePunct w:val="0"/>
        <w:autoSpaceDE/>
        <w:autoSpaceDN/>
        <w:bidi w:val="0"/>
        <w:adjustRightInd w:val="0"/>
        <w:snapToGrid w:val="0"/>
        <w:spacing w:line="400" w:lineRule="exact"/>
        <w:ind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二）成绩要求：学习成绩排名与综合考评成绩排名均位于前10%（含10%）的学生，可以申请本专科生国家奖学金。学习成绩排名和综合考评成绩排名没有进入前10%，但达到前30%（含30%）的学生，如在其他方面表现非常突出，也可申请本专科生国家奖学金，但需提交详细的证明材料，证明材料须经学校审核盖章确认。</w:t>
      </w:r>
    </w:p>
    <w:p w14:paraId="61E1D1C0">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其他方面表现非常突出是指在道德风尚、学术研究、学科竞赛、创新发明、社会实践、社会工作、体育竞赛、艺术展演等某一方面表现特别优秀。具体是指：</w:t>
      </w:r>
    </w:p>
    <w:p w14:paraId="57D5EAD3">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1.在社会主义精神文明建设中表现突出，具有见义勇为、助人为乐、奉献爱心、服务社会、自立自强的实际行动，在本校、本地区产生重大影响，在全国产生较大影响，有助于树立良好的社会风尚。</w:t>
      </w:r>
    </w:p>
    <w:p w14:paraId="3B70F1C6">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2.在学术研究上取得显著成绩，以第一作者发表的通过专家鉴定的高水平论文，以第一、二作者出版的通过专家鉴定的学术专著。</w:t>
      </w:r>
    </w:p>
    <w:p w14:paraId="054CC675">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3.在学科竞赛方面取得显著成绩，在国际和全国性专业学科竞赛、课外学术科技竞赛、中国“互联网+”大学生创新创业大赛、全国职业院校技能大赛等竞赛中获一等奖（或金奖）及以上奖励。</w:t>
      </w:r>
    </w:p>
    <w:p w14:paraId="0649F3A7">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4.在创新发明方面取得显著成绩，科研成果获省、部级以上奖励或获得通过专家鉴定的国家专利（不包括实用新型专利、外观设计专利）。</w:t>
      </w:r>
    </w:p>
    <w:p w14:paraId="404C9D28">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5.在体育竞赛中取得显著成绩，为国家争得荣誉。非体育专业学生参加省级以上体育比赛获得个人项目前三名，集体项目前二名；高水平运动员参加国际和全国性体育比赛获得个人项目前三名、集体项目前二名。集体项目应为上场主力队员。</w:t>
      </w:r>
    </w:p>
    <w:p w14:paraId="7DDA12F9">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6.在艺术展演方面取得显著成绩，参加全国大学生艺术展演获得一、二等奖，参加省级艺术展演获得一等奖；艺术类专业学生参加国际和全国性比赛获得前三名。集体项目应为主要演员。</w:t>
      </w:r>
    </w:p>
    <w:p w14:paraId="39A191E2">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7.获全国十大杰出青年、中国青年五四奖章、中国大学生年度人物等全国性荣誉称号。</w:t>
      </w:r>
    </w:p>
    <w:p w14:paraId="475E699F">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8.其它应当认定为表现非常突出的情形。</w:t>
      </w:r>
    </w:p>
    <w:p w14:paraId="59D3ABF3">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第七条</w:t>
      </w:r>
      <w:r>
        <w:rPr>
          <w:rFonts w:hint="eastAsia" w:ascii="方正书宋简体" w:hAnsi="方正书宋简体" w:eastAsia="方正书宋简体" w:cs="方正书宋简体"/>
          <w:color w:val="auto"/>
          <w:sz w:val="21"/>
          <w:szCs w:val="21"/>
        </w:rPr>
        <w:t xml:space="preserve">  同一学年内，获得国家奖学金的家庭经济困难学生，可以同时申请并获得国家助学金，但不能同时获得国家励志奖学金。</w:t>
      </w:r>
    </w:p>
    <w:p w14:paraId="19DDDFD9">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3D8A8BE5">
      <w:pPr>
        <w:pStyle w:val="3"/>
        <w:rPr>
          <w:rFonts w:hint="eastAsia"/>
        </w:rPr>
      </w:pPr>
      <w:bookmarkStart w:id="64" w:name="_Toc6581"/>
      <w:bookmarkStart w:id="65" w:name="_Toc27834"/>
      <w:r>
        <w:rPr>
          <w:rFonts w:hint="eastAsia"/>
        </w:rPr>
        <w:t>第三章</w:t>
      </w:r>
      <w:r>
        <w:rPr>
          <w:rFonts w:hint="eastAsia"/>
          <w:lang w:val="en-US" w:eastAsia="zh-CN"/>
        </w:rPr>
        <w:t xml:space="preserve">  </w:t>
      </w:r>
      <w:r>
        <w:rPr>
          <w:rFonts w:hint="eastAsia"/>
        </w:rPr>
        <w:t>申报及评审程序</w:t>
      </w:r>
      <w:bookmarkEnd w:id="64"/>
      <w:bookmarkEnd w:id="65"/>
    </w:p>
    <w:p w14:paraId="6D983F3F">
      <w:pPr>
        <w:pStyle w:val="3"/>
        <w:outlineLvl w:val="9"/>
        <w:rPr>
          <w:rFonts w:hint="eastAsia"/>
        </w:rPr>
      </w:pPr>
    </w:p>
    <w:p w14:paraId="6F7D60B0">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第八条</w:t>
      </w:r>
      <w:r>
        <w:rPr>
          <w:rFonts w:hint="eastAsia" w:ascii="方正书宋简体" w:hAnsi="方正书宋简体" w:eastAsia="方正书宋简体" w:cs="方正书宋简体"/>
          <w:color w:val="auto"/>
          <w:sz w:val="21"/>
          <w:szCs w:val="21"/>
        </w:rPr>
        <w:t> 学院学生资助管理中心（以下简称“资助中心”）在学院学生资助领导小组的领导下，负责国家奖学金评审工作，学院资助中心办公室具体负责评审的日常管理工作。</w:t>
      </w:r>
    </w:p>
    <w:p w14:paraId="06557ECE">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第九条</w:t>
      </w:r>
      <w:r>
        <w:rPr>
          <w:rFonts w:hint="eastAsia" w:ascii="方正书宋简体" w:hAnsi="方正书宋简体" w:eastAsia="方正书宋简体" w:cs="方正书宋简体"/>
          <w:color w:val="auto"/>
          <w:sz w:val="21"/>
          <w:szCs w:val="21"/>
        </w:rPr>
        <w:t xml:space="preserve">  国家奖学金名额下达后，学院资助中心办公室根据文件精神和相关要求，拟定并下发国家奖学金评审工作通知，公布国家奖学金管理暂行办法、学院评审办法和学生申报程序，提出申报条件、比例、时间和要求。 </w:t>
      </w:r>
    </w:p>
    <w:p w14:paraId="56D318C6">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第十条</w:t>
      </w:r>
      <w:r>
        <w:rPr>
          <w:rFonts w:hint="eastAsia" w:ascii="方正书宋简体" w:hAnsi="方正书宋简体" w:eastAsia="方正书宋简体" w:cs="方正书宋简体"/>
          <w:color w:val="auto"/>
          <w:sz w:val="21"/>
          <w:szCs w:val="21"/>
        </w:rPr>
        <w:t>  各系根据通知精神，召开辅导员会议研究、布置系国家奖学金申报工作。</w:t>
      </w:r>
    </w:p>
    <w:p w14:paraId="100A4606">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第十一条</w:t>
      </w:r>
      <w:r>
        <w:rPr>
          <w:rFonts w:hint="eastAsia" w:ascii="方正书宋简体" w:hAnsi="方正书宋简体" w:eastAsia="方正书宋简体" w:cs="方正书宋简体"/>
          <w:color w:val="auto"/>
          <w:sz w:val="21"/>
          <w:szCs w:val="21"/>
        </w:rPr>
        <w:t xml:space="preserve">  学生根据基本申请条件及其他有关规定，自愿提出书面申请交辅导员。</w:t>
      </w:r>
      <w:r>
        <w:rPr>
          <w:rFonts w:hint="eastAsia" w:ascii="方正书宋简体" w:hAnsi="方正书宋简体" w:eastAsia="方正书宋简体" w:cs="方正书宋简体"/>
          <w:color w:val="auto"/>
          <w:sz w:val="21"/>
          <w:szCs w:val="21"/>
          <w:lang w:val="en-US" w:eastAsia="zh-CN"/>
        </w:rPr>
        <w:t>学院实施国家奖学金申报量化评分，申请人在规定时间内将申请表及量化评分表报系部审核</w:t>
      </w:r>
      <w:r>
        <w:rPr>
          <w:rFonts w:hint="eastAsia" w:ascii="方正书宋简体" w:hAnsi="方正书宋简体" w:eastAsia="方正书宋简体" w:cs="方正书宋简体"/>
          <w:color w:val="auto"/>
          <w:sz w:val="21"/>
          <w:szCs w:val="21"/>
        </w:rPr>
        <w:t>。</w:t>
      </w:r>
    </w:p>
    <w:p w14:paraId="26807391">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第十二条</w:t>
      </w:r>
      <w:r>
        <w:rPr>
          <w:rFonts w:hint="eastAsia" w:ascii="方正书宋简体" w:hAnsi="方正书宋简体" w:eastAsia="方正书宋简体" w:cs="方正书宋简体"/>
          <w:color w:val="auto"/>
          <w:sz w:val="21"/>
          <w:szCs w:val="21"/>
        </w:rPr>
        <w:t xml:space="preserve">  各系召开系领导、学工干事、辅导员会议研究审核，并将推荐人员公示5个工作日，于</w:t>
      </w:r>
      <w:r>
        <w:rPr>
          <w:rFonts w:hint="eastAsia" w:ascii="方正书宋简体" w:hAnsi="方正书宋简体" w:eastAsia="方正书宋简体" w:cs="方正书宋简体"/>
          <w:color w:val="auto"/>
          <w:sz w:val="21"/>
          <w:szCs w:val="21"/>
          <w:lang w:val="en-US" w:eastAsia="zh-CN"/>
        </w:rPr>
        <w:t>规定时间</w:t>
      </w:r>
      <w:r>
        <w:rPr>
          <w:rFonts w:hint="eastAsia" w:ascii="方正书宋简体" w:hAnsi="方正书宋简体" w:eastAsia="方正书宋简体" w:cs="方正书宋简体"/>
          <w:color w:val="auto"/>
          <w:sz w:val="21"/>
          <w:szCs w:val="21"/>
        </w:rPr>
        <w:t>报学院资助中心办公室。</w:t>
      </w:r>
    </w:p>
    <w:p w14:paraId="1E8EC3E5">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 xml:space="preserve">第十三条 </w:t>
      </w:r>
      <w:r>
        <w:rPr>
          <w:rFonts w:hint="eastAsia" w:ascii="方正书宋简体" w:hAnsi="方正书宋简体" w:eastAsia="方正书宋简体" w:cs="方正书宋简体"/>
          <w:color w:val="auto"/>
          <w:sz w:val="21"/>
          <w:szCs w:val="21"/>
        </w:rPr>
        <w:t xml:space="preserve"> 学院“资助中心”组织召开“奖学金、助学金评审委员会”评审，</w:t>
      </w:r>
      <w:r>
        <w:rPr>
          <w:rFonts w:hint="eastAsia" w:ascii="方正书宋简体" w:hAnsi="方正书宋简体" w:eastAsia="方正书宋简体" w:cs="方正书宋简体"/>
          <w:color w:val="auto"/>
          <w:sz w:val="21"/>
          <w:szCs w:val="21"/>
          <w:lang w:val="en-US" w:eastAsia="zh-CN"/>
        </w:rPr>
        <w:t>审定</w:t>
      </w:r>
      <w:r>
        <w:rPr>
          <w:rFonts w:hint="eastAsia" w:ascii="方正书宋简体" w:hAnsi="方正书宋简体" w:eastAsia="方正书宋简体" w:cs="方正书宋简体"/>
          <w:color w:val="auto"/>
          <w:sz w:val="21"/>
          <w:szCs w:val="21"/>
        </w:rPr>
        <w:t>申报国家奖学金学生建议名单。并在校内进行不少于5个工作日的公示。公示无异议后，于规定时间报省教育厅。</w:t>
      </w:r>
    </w:p>
    <w:p w14:paraId="7844DF09">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第十四条</w:t>
      </w:r>
      <w:r>
        <w:rPr>
          <w:rFonts w:hint="eastAsia" w:ascii="方正书宋简体" w:hAnsi="方正书宋简体" w:eastAsia="方正书宋简体" w:cs="方正书宋简体"/>
          <w:color w:val="auto"/>
          <w:sz w:val="21"/>
          <w:szCs w:val="21"/>
        </w:rPr>
        <w:t xml:space="preserve">  经上级批复后，学院于规定时间将国家奖学金一次性发放给获奖学生，颁发国家统一印制的奖励证书，并记入学生学籍档案。</w:t>
      </w:r>
    </w:p>
    <w:p w14:paraId="06B22875">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color w:val="auto"/>
          <w:sz w:val="21"/>
          <w:szCs w:val="21"/>
          <w:lang w:val="en-US" w:eastAsia="zh-CN"/>
        </w:rPr>
      </w:pPr>
    </w:p>
    <w:p w14:paraId="413DD4B0">
      <w:pPr>
        <w:pStyle w:val="3"/>
        <w:rPr>
          <w:rFonts w:hint="eastAsia"/>
        </w:rPr>
      </w:pPr>
      <w:bookmarkStart w:id="66" w:name="_Toc7574"/>
      <w:bookmarkStart w:id="67" w:name="_Toc4675"/>
      <w:r>
        <w:rPr>
          <w:rFonts w:hint="eastAsia"/>
          <w:lang w:val="en-US" w:eastAsia="zh-CN"/>
        </w:rPr>
        <w:t xml:space="preserve">第四章  </w:t>
      </w:r>
      <w:r>
        <w:rPr>
          <w:rFonts w:hint="eastAsia"/>
        </w:rPr>
        <w:t>管理与监督</w:t>
      </w:r>
      <w:bookmarkEnd w:id="66"/>
      <w:bookmarkEnd w:id="67"/>
    </w:p>
    <w:p w14:paraId="40127105">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color w:val="auto"/>
          <w:sz w:val="21"/>
          <w:szCs w:val="21"/>
        </w:rPr>
      </w:pPr>
    </w:p>
    <w:p w14:paraId="11148F3B">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 xml:space="preserve">第十五条  </w:t>
      </w:r>
      <w:r>
        <w:rPr>
          <w:rFonts w:hint="eastAsia" w:ascii="方正书宋简体" w:hAnsi="方正书宋简体" w:eastAsia="方正书宋简体" w:cs="方正书宋简体"/>
          <w:color w:val="auto"/>
          <w:sz w:val="21"/>
          <w:szCs w:val="21"/>
        </w:rPr>
        <w:t>国家奖学金评审工作坚持公开、公平、公正、择优的原则。</w:t>
      </w:r>
    </w:p>
    <w:p w14:paraId="086B702F">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 xml:space="preserve">第十六条  </w:t>
      </w:r>
      <w:r>
        <w:rPr>
          <w:rFonts w:hint="eastAsia" w:ascii="方正书宋简体" w:hAnsi="方正书宋简体" w:eastAsia="方正书宋简体" w:cs="方正书宋简体"/>
          <w:color w:val="auto"/>
          <w:sz w:val="21"/>
          <w:szCs w:val="21"/>
        </w:rPr>
        <w:t>学院要切实加强管理，认真做好国家奖学金的评审和发放工作，确保国家奖学金用于奖励特别优秀的学生。</w:t>
      </w:r>
    </w:p>
    <w:p w14:paraId="149DE1A0">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 xml:space="preserve">第十七条  </w:t>
      </w:r>
      <w:r>
        <w:rPr>
          <w:rFonts w:hint="eastAsia" w:ascii="方正书宋简体" w:hAnsi="方正书宋简体" w:eastAsia="方正书宋简体" w:cs="方正书宋简体"/>
          <w:color w:val="auto"/>
          <w:sz w:val="21"/>
          <w:szCs w:val="21"/>
        </w:rPr>
        <w:t>学院执行国家相关财经法规，对国家奖学金实行分账核算，专款专用，不得截留、挤占、挪用，同时应接受财政、审计、纪检监察、主管机关等部门的检查和监督。</w:t>
      </w:r>
    </w:p>
    <w:p w14:paraId="5A408A86">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223B67CA">
      <w:pPr>
        <w:pStyle w:val="3"/>
        <w:rPr>
          <w:rFonts w:hint="eastAsia"/>
        </w:rPr>
      </w:pPr>
      <w:bookmarkStart w:id="68" w:name="_Toc10599"/>
      <w:bookmarkStart w:id="69" w:name="_Toc25228"/>
      <w:r>
        <w:rPr>
          <w:rFonts w:hint="eastAsia"/>
        </w:rPr>
        <w:t>第五章  附 则</w:t>
      </w:r>
      <w:bookmarkEnd w:id="68"/>
      <w:bookmarkEnd w:id="69"/>
    </w:p>
    <w:p w14:paraId="1BCC6D8D">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color w:val="auto"/>
          <w:sz w:val="21"/>
          <w:szCs w:val="21"/>
        </w:rPr>
      </w:pPr>
    </w:p>
    <w:p w14:paraId="12B723DE">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 xml:space="preserve">第十八条 </w:t>
      </w:r>
      <w:r>
        <w:rPr>
          <w:rFonts w:hint="eastAsia" w:ascii="方正书宋简体" w:hAnsi="方正书宋简体" w:eastAsia="方正书宋简体" w:cs="方正书宋简体"/>
          <w:color w:val="auto"/>
          <w:sz w:val="21"/>
          <w:szCs w:val="21"/>
        </w:rPr>
        <w:t xml:space="preserve"> 本办法自201</w:t>
      </w:r>
      <w:r>
        <w:rPr>
          <w:rFonts w:hint="eastAsia" w:ascii="方正书宋简体" w:hAnsi="方正书宋简体" w:eastAsia="方正书宋简体" w:cs="方正书宋简体"/>
          <w:color w:val="auto"/>
          <w:sz w:val="21"/>
          <w:szCs w:val="21"/>
          <w:lang w:val="en-US" w:eastAsia="zh-CN"/>
        </w:rPr>
        <w:t>9</w:t>
      </w:r>
      <w:r>
        <w:rPr>
          <w:rFonts w:hint="eastAsia" w:ascii="方正书宋简体" w:hAnsi="方正书宋简体" w:eastAsia="方正书宋简体" w:cs="方正书宋简体"/>
          <w:color w:val="auto"/>
          <w:sz w:val="21"/>
          <w:szCs w:val="21"/>
        </w:rPr>
        <w:t>年</w:t>
      </w:r>
      <w:r>
        <w:rPr>
          <w:rFonts w:hint="eastAsia" w:ascii="方正书宋简体" w:hAnsi="方正书宋简体" w:eastAsia="方正书宋简体" w:cs="方正书宋简体"/>
          <w:color w:val="auto"/>
          <w:sz w:val="21"/>
          <w:szCs w:val="21"/>
          <w:lang w:val="en-US" w:eastAsia="zh-CN"/>
        </w:rPr>
        <w:t>10</w:t>
      </w:r>
      <w:r>
        <w:rPr>
          <w:rFonts w:hint="eastAsia" w:ascii="方正书宋简体" w:hAnsi="方正书宋简体" w:eastAsia="方正书宋简体" w:cs="方正书宋简体"/>
          <w:color w:val="auto"/>
          <w:sz w:val="21"/>
          <w:szCs w:val="21"/>
        </w:rPr>
        <w:t>月起</w:t>
      </w:r>
      <w:r>
        <w:rPr>
          <w:rFonts w:hint="eastAsia" w:ascii="方正书宋简体" w:hAnsi="方正书宋简体" w:eastAsia="方正书宋简体" w:cs="方正书宋简体"/>
          <w:color w:val="auto"/>
          <w:sz w:val="21"/>
          <w:szCs w:val="21"/>
          <w:lang w:val="en-US" w:eastAsia="zh-CN"/>
        </w:rPr>
        <w:t>施</w:t>
      </w:r>
      <w:r>
        <w:rPr>
          <w:rFonts w:hint="eastAsia" w:ascii="方正书宋简体" w:hAnsi="方正书宋简体" w:eastAsia="方正书宋简体" w:cs="方正书宋简体"/>
          <w:color w:val="auto"/>
          <w:sz w:val="21"/>
          <w:szCs w:val="21"/>
        </w:rPr>
        <w:t>行。</w:t>
      </w:r>
    </w:p>
    <w:p w14:paraId="34BD9259">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 xml:space="preserve">第十九条 </w:t>
      </w:r>
      <w:r>
        <w:rPr>
          <w:rFonts w:hint="eastAsia" w:ascii="方正书宋简体" w:hAnsi="方正书宋简体" w:eastAsia="方正书宋简体" w:cs="方正书宋简体"/>
          <w:color w:val="auto"/>
          <w:sz w:val="21"/>
          <w:szCs w:val="21"/>
        </w:rPr>
        <w:t xml:space="preserve"> 本办法</w:t>
      </w:r>
      <w:r>
        <w:rPr>
          <w:rFonts w:hint="eastAsia" w:ascii="方正书宋简体" w:hAnsi="方正书宋简体" w:eastAsia="方正书宋简体" w:cs="方正书宋简体"/>
          <w:color w:val="auto"/>
          <w:sz w:val="21"/>
          <w:szCs w:val="21"/>
          <w:lang w:val="en-US" w:eastAsia="zh-CN"/>
        </w:rPr>
        <w:t>由</w:t>
      </w:r>
      <w:r>
        <w:rPr>
          <w:rFonts w:hint="eastAsia" w:ascii="方正书宋简体" w:hAnsi="方正书宋简体" w:eastAsia="方正书宋简体" w:cs="方正书宋简体"/>
          <w:color w:val="auto"/>
          <w:sz w:val="21"/>
          <w:szCs w:val="21"/>
        </w:rPr>
        <w:t>学院学生资助管理中心</w:t>
      </w:r>
      <w:r>
        <w:rPr>
          <w:rFonts w:hint="eastAsia" w:ascii="方正书宋简体" w:hAnsi="方正书宋简体" w:eastAsia="方正书宋简体" w:cs="方正书宋简体"/>
          <w:color w:val="auto"/>
          <w:sz w:val="21"/>
          <w:szCs w:val="21"/>
          <w:lang w:val="en-US" w:eastAsia="zh-CN"/>
        </w:rPr>
        <w:t>负责</w:t>
      </w:r>
      <w:r>
        <w:rPr>
          <w:rFonts w:hint="eastAsia" w:ascii="方正书宋简体" w:hAnsi="方正书宋简体" w:eastAsia="方正书宋简体" w:cs="方正书宋简体"/>
          <w:color w:val="auto"/>
          <w:sz w:val="21"/>
          <w:szCs w:val="21"/>
        </w:rPr>
        <w:t>解释。</w:t>
      </w:r>
    </w:p>
    <w:p w14:paraId="19F0375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b w:val="0"/>
          <w:bCs/>
          <w:sz w:val="21"/>
          <w:szCs w:val="21"/>
          <w:lang w:val="en-US" w:eastAsia="zh-CN"/>
        </w:rPr>
      </w:pPr>
      <w:r>
        <w:rPr>
          <w:rFonts w:hint="eastAsia" w:ascii="方正书宋简体" w:hAnsi="方正书宋简体" w:eastAsia="方正书宋简体" w:cs="方正书宋简体"/>
          <w:b w:val="0"/>
          <w:bCs/>
          <w:sz w:val="21"/>
          <w:szCs w:val="21"/>
          <w:lang w:val="en-US" w:eastAsia="zh-CN"/>
        </w:rPr>
        <w:br w:type="page"/>
      </w:r>
    </w:p>
    <w:p w14:paraId="4DE959BC">
      <w:pPr>
        <w:pStyle w:val="2"/>
        <w:rPr>
          <w:rFonts w:hint="eastAsia"/>
        </w:rPr>
      </w:pPr>
      <w:bookmarkStart w:id="70" w:name="_Toc6472"/>
      <w:bookmarkStart w:id="71" w:name="_Toc4852"/>
      <w:bookmarkStart w:id="72" w:name="_Toc7363"/>
      <w:bookmarkStart w:id="73" w:name="_Toc23824"/>
      <w:bookmarkStart w:id="74" w:name="_Toc2743"/>
      <w:bookmarkStart w:id="75" w:name="_Toc1647"/>
      <w:bookmarkStart w:id="76" w:name="_Toc1724"/>
      <w:bookmarkStart w:id="77" w:name="_Toc22776"/>
      <w:r>
        <w:rPr>
          <w:rFonts w:hint="eastAsia"/>
        </w:rPr>
        <w:t>安徽电气工程职业技术学院</w:t>
      </w:r>
      <w:bookmarkEnd w:id="70"/>
      <w:bookmarkEnd w:id="71"/>
      <w:bookmarkEnd w:id="72"/>
      <w:bookmarkEnd w:id="73"/>
      <w:bookmarkEnd w:id="74"/>
      <w:bookmarkEnd w:id="75"/>
      <w:bookmarkEnd w:id="76"/>
      <w:bookmarkEnd w:id="77"/>
      <w:bookmarkStart w:id="78" w:name="安徽电气工程职业技术学院国家励志奖学金评审办法"/>
    </w:p>
    <w:p w14:paraId="1ED3F48B">
      <w:pPr>
        <w:pStyle w:val="2"/>
        <w:rPr>
          <w:rFonts w:hint="eastAsia"/>
        </w:rPr>
      </w:pPr>
      <w:bookmarkStart w:id="79" w:name="_Toc29715"/>
      <w:bookmarkStart w:id="80" w:name="_Toc9907"/>
      <w:bookmarkStart w:id="81" w:name="_Toc6301"/>
      <w:bookmarkStart w:id="82" w:name="_Toc7260"/>
      <w:bookmarkStart w:id="83" w:name="_Toc7610"/>
      <w:bookmarkStart w:id="84" w:name="_Toc27291"/>
      <w:bookmarkStart w:id="85" w:name="_Toc20204"/>
      <w:bookmarkStart w:id="86" w:name="_Toc3862"/>
      <w:r>
        <w:rPr>
          <w:rFonts w:hint="eastAsia"/>
        </w:rPr>
        <w:t>国家励志奖学金评审办法</w:t>
      </w:r>
      <w:bookmarkEnd w:id="78"/>
      <w:bookmarkEnd w:id="79"/>
      <w:bookmarkEnd w:id="80"/>
      <w:bookmarkEnd w:id="81"/>
      <w:bookmarkEnd w:id="82"/>
      <w:bookmarkEnd w:id="83"/>
      <w:bookmarkEnd w:id="84"/>
      <w:bookmarkEnd w:id="85"/>
      <w:bookmarkEnd w:id="86"/>
    </w:p>
    <w:p w14:paraId="23207476">
      <w:pPr>
        <w:pageBreakBefore w:val="0"/>
        <w:overflowPunct/>
        <w:topLinePunct w:val="0"/>
        <w:bidi w:val="0"/>
        <w:spacing w:line="400" w:lineRule="exact"/>
        <w:ind w:left="0" w:leftChars="0" w:right="0" w:firstLine="422" w:firstLineChars="200"/>
        <w:jc w:val="center"/>
        <w:rPr>
          <w:rFonts w:hint="eastAsia" w:ascii="方正书宋简体" w:hAnsi="方正书宋简体" w:eastAsia="方正书宋简体" w:cs="方正书宋简体"/>
          <w:b/>
          <w:color w:val="auto"/>
          <w:sz w:val="21"/>
          <w:szCs w:val="21"/>
        </w:rPr>
      </w:pPr>
    </w:p>
    <w:p w14:paraId="1058E7D7">
      <w:pPr>
        <w:pStyle w:val="3"/>
        <w:rPr>
          <w:rFonts w:hint="eastAsia"/>
        </w:rPr>
      </w:pPr>
      <w:bookmarkStart w:id="87" w:name="_Toc19353"/>
      <w:bookmarkStart w:id="88" w:name="_Toc9101"/>
      <w:r>
        <w:rPr>
          <w:rFonts w:hint="eastAsia"/>
        </w:rPr>
        <w:t>第一章  总  则</w:t>
      </w:r>
      <w:bookmarkEnd w:id="87"/>
      <w:bookmarkEnd w:id="88"/>
    </w:p>
    <w:p w14:paraId="5B38DA0D">
      <w:pPr>
        <w:rPr>
          <w:rFonts w:hint="eastAsia"/>
        </w:rPr>
      </w:pPr>
    </w:p>
    <w:p w14:paraId="78D91E9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第一条</w:t>
      </w:r>
      <w:r>
        <w:rPr>
          <w:rFonts w:hint="eastAsia" w:ascii="方正书宋简体" w:hAnsi="方正书宋简体" w:eastAsia="方正书宋简体" w:cs="方正书宋简体"/>
          <w:color w:val="auto"/>
          <w:sz w:val="21"/>
          <w:szCs w:val="21"/>
        </w:rPr>
        <w:t>　为做好国家励志奖学金评审工作，依据国家财政部、教育部《普通本科高校、高等职业学校国家励志奖学金管理暂行办法》（财教〔2007〕91号）文件精神，结合学校实际，制定本办法。</w:t>
      </w:r>
    </w:p>
    <w:p w14:paraId="641D7F8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第二条</w:t>
      </w:r>
      <w:r>
        <w:rPr>
          <w:rFonts w:hint="eastAsia" w:ascii="方正书宋简体" w:hAnsi="方正书宋简体" w:eastAsia="方正书宋简体" w:cs="方正书宋简体"/>
          <w:color w:val="auto"/>
          <w:sz w:val="21"/>
          <w:szCs w:val="21"/>
        </w:rPr>
        <w:t> 国家励志奖学金由中央和地方政府共同出资设立。用于奖励资助全日制在校学生中品学兼优的家庭经济困难学生。</w:t>
      </w:r>
    </w:p>
    <w:p w14:paraId="2C9FC33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 xml:space="preserve">第三条 </w:t>
      </w:r>
      <w:r>
        <w:rPr>
          <w:rFonts w:hint="eastAsia" w:ascii="方正书宋简体" w:hAnsi="方正书宋简体" w:eastAsia="方正书宋简体" w:cs="方正书宋简体"/>
          <w:color w:val="auto"/>
          <w:sz w:val="21"/>
          <w:szCs w:val="21"/>
        </w:rPr>
        <w:t xml:space="preserve"> 国家励志奖学金的奖励资助名额和预算由省财政、教育部门向学院下达。</w:t>
      </w:r>
    </w:p>
    <w:p w14:paraId="12AA4CF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 xml:space="preserve">第四条  </w:t>
      </w:r>
      <w:r>
        <w:rPr>
          <w:rFonts w:hint="eastAsia" w:ascii="方正书宋简体" w:hAnsi="方正书宋简体" w:eastAsia="方正书宋简体" w:cs="方正书宋简体"/>
          <w:color w:val="auto"/>
          <w:sz w:val="21"/>
          <w:szCs w:val="21"/>
        </w:rPr>
        <w:t>国家励志奖学金的奖励标准为每人每年5000元。</w:t>
      </w:r>
    </w:p>
    <w:p w14:paraId="3D8215C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6FB3AF67">
      <w:pPr>
        <w:pStyle w:val="3"/>
        <w:rPr>
          <w:rFonts w:hint="eastAsia"/>
        </w:rPr>
      </w:pPr>
      <w:bookmarkStart w:id="89" w:name="_Toc18670"/>
      <w:bookmarkStart w:id="90" w:name="_Toc7847"/>
      <w:r>
        <w:rPr>
          <w:rFonts w:hint="eastAsia"/>
        </w:rPr>
        <w:t>第二章  申请条件</w:t>
      </w:r>
      <w:bookmarkEnd w:id="89"/>
      <w:bookmarkEnd w:id="90"/>
    </w:p>
    <w:p w14:paraId="5AA44FC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color w:val="auto"/>
          <w:sz w:val="21"/>
          <w:szCs w:val="21"/>
        </w:rPr>
      </w:pPr>
    </w:p>
    <w:p w14:paraId="028778D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第五条</w:t>
      </w:r>
      <w:r>
        <w:rPr>
          <w:rFonts w:hint="eastAsia" w:ascii="方正书宋简体" w:hAnsi="方正书宋简体" w:eastAsia="方正书宋简体" w:cs="方正书宋简体"/>
          <w:color w:val="auto"/>
          <w:sz w:val="21"/>
          <w:szCs w:val="21"/>
        </w:rPr>
        <w:t xml:space="preserve">  基本条件</w:t>
      </w:r>
    </w:p>
    <w:p w14:paraId="0E73ACE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1</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热爱社会主义祖国，拥护中国共产党的领导；</w:t>
      </w:r>
    </w:p>
    <w:p w14:paraId="64034D0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2</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遵守宪法和法律，遵守学院规章制度；</w:t>
      </w:r>
    </w:p>
    <w:p w14:paraId="2711482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3</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诚实守信，道德品质优良；</w:t>
      </w:r>
    </w:p>
    <w:p w14:paraId="6CB9308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4</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 xml:space="preserve">家庭经济困难，生活俭朴； </w:t>
      </w:r>
    </w:p>
    <w:p w14:paraId="43B3A73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5</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在校期间学习成绩优秀；</w:t>
      </w:r>
    </w:p>
    <w:p w14:paraId="422E506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6</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本学年度被认定为家庭经济困难的在校生中二年级以上（含二年级）的学生。</w:t>
      </w:r>
    </w:p>
    <w:p w14:paraId="390A893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第六条</w:t>
      </w:r>
      <w:r>
        <w:rPr>
          <w:rFonts w:hint="eastAsia" w:ascii="方正书宋简体" w:hAnsi="方正书宋简体" w:eastAsia="方正书宋简体" w:cs="方正书宋简体"/>
          <w:color w:val="auto"/>
          <w:sz w:val="21"/>
          <w:szCs w:val="21"/>
        </w:rPr>
        <w:t xml:space="preserve">  有以下情况者，原则上不能获得国家励志奖学金：</w:t>
      </w:r>
    </w:p>
    <w:p w14:paraId="380E80E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1．本学年有违反校规校纪和大学生日常行为规范，受到学院纪律处分，尚未解除者；</w:t>
      </w:r>
    </w:p>
    <w:p w14:paraId="12AB9A4C">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2. 学年</w:t>
      </w:r>
      <w:r>
        <w:rPr>
          <w:rFonts w:hint="eastAsia" w:ascii="方正书宋简体" w:hAnsi="方正书宋简体" w:eastAsia="方正书宋简体" w:cs="方正书宋简体"/>
          <w:color w:val="auto"/>
          <w:sz w:val="21"/>
          <w:szCs w:val="21"/>
          <w:lang w:val="en-US" w:eastAsia="zh-CN"/>
        </w:rPr>
        <w:t>学分加权平均成绩</w:t>
      </w:r>
      <w:r>
        <w:rPr>
          <w:rFonts w:hint="eastAsia" w:ascii="方正书宋简体" w:hAnsi="方正书宋简体" w:eastAsia="方正书宋简体" w:cs="方正书宋简体"/>
          <w:color w:val="auto"/>
          <w:sz w:val="21"/>
          <w:szCs w:val="21"/>
        </w:rPr>
        <w:t>排序位于本年级专业前20％以下者。</w:t>
      </w:r>
    </w:p>
    <w:p w14:paraId="0F92F51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3．学生个人素质考核排序位于全班前30%以下者。</w:t>
      </w:r>
    </w:p>
    <w:p w14:paraId="365D8C2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第七条</w:t>
      </w:r>
      <w:r>
        <w:rPr>
          <w:rFonts w:hint="eastAsia" w:ascii="方正书宋简体" w:hAnsi="方正书宋简体" w:eastAsia="方正书宋简体" w:cs="方正书宋简体"/>
          <w:color w:val="auto"/>
          <w:sz w:val="21"/>
          <w:szCs w:val="21"/>
        </w:rPr>
        <w:t xml:space="preserve">  同一学年内，申请国家励志奖学金的学生可以同时申请并获得国家助学金，但不能同时获得国家奖学金。</w:t>
      </w:r>
    </w:p>
    <w:p w14:paraId="25758FF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2E8750FB">
      <w:pPr>
        <w:pStyle w:val="3"/>
        <w:rPr>
          <w:rFonts w:hint="eastAsia"/>
        </w:rPr>
      </w:pPr>
      <w:bookmarkStart w:id="91" w:name="_Toc6986"/>
      <w:bookmarkStart w:id="92" w:name="_Toc296"/>
      <w:r>
        <w:rPr>
          <w:rFonts w:hint="eastAsia"/>
        </w:rPr>
        <w:t>第三章</w:t>
      </w:r>
      <w:r>
        <w:rPr>
          <w:rFonts w:hint="eastAsia"/>
          <w:lang w:val="en-US" w:eastAsia="zh-CN"/>
        </w:rPr>
        <w:t xml:space="preserve">  </w:t>
      </w:r>
      <w:r>
        <w:rPr>
          <w:rFonts w:hint="eastAsia"/>
        </w:rPr>
        <w:t>申报及评审程序</w:t>
      </w:r>
      <w:bookmarkEnd w:id="91"/>
      <w:bookmarkEnd w:id="92"/>
    </w:p>
    <w:p w14:paraId="20204D5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color w:val="auto"/>
          <w:sz w:val="21"/>
          <w:szCs w:val="21"/>
        </w:rPr>
      </w:pPr>
    </w:p>
    <w:p w14:paraId="74A8F5B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第八条 </w:t>
      </w:r>
      <w:r>
        <w:rPr>
          <w:rFonts w:hint="eastAsia" w:ascii="方正书宋简体" w:hAnsi="方正书宋简体" w:eastAsia="方正书宋简体" w:cs="方正书宋简体"/>
          <w:color w:val="auto"/>
          <w:sz w:val="21"/>
          <w:szCs w:val="21"/>
        </w:rPr>
        <w:t xml:space="preserve"> 学院学生资助管理中心（以下简称“资助中心”）在学院学生资助工作领导小组领导下，全面负责国家励志奖学金评审工作，学院资助中心办公室具体负责评审的日常管理工作。</w:t>
      </w:r>
    </w:p>
    <w:p w14:paraId="2663954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第九条</w:t>
      </w:r>
      <w:r>
        <w:rPr>
          <w:rFonts w:hint="eastAsia" w:ascii="方正书宋简体" w:hAnsi="方正书宋简体" w:eastAsia="方正书宋简体" w:cs="方正书宋简体"/>
          <w:color w:val="auto"/>
          <w:sz w:val="21"/>
          <w:szCs w:val="21"/>
        </w:rPr>
        <w:t xml:space="preserve">  国家励志奖学金名额下达后，根据文件精神和有关要求，拟定并下发国家励志奖学金评审工作通知，向全体学生公布国家励志奖学金管理暂行办法、学院评审办法和学生申报程序，提出申报条件、比例、时间和要求。 </w:t>
      </w:r>
    </w:p>
    <w:p w14:paraId="42226B4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第十条</w:t>
      </w:r>
      <w:r>
        <w:rPr>
          <w:rFonts w:hint="eastAsia" w:ascii="方正书宋简体" w:hAnsi="方正书宋简体" w:eastAsia="方正书宋简体" w:cs="方正书宋简体"/>
          <w:color w:val="auto"/>
          <w:sz w:val="21"/>
          <w:szCs w:val="21"/>
        </w:rPr>
        <w:t>  各系根据通知精神，召开辅导员会议研究、部署系国家励志奖学金申报工作。</w:t>
      </w:r>
    </w:p>
    <w:p w14:paraId="309CCEA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第十一条</w:t>
      </w:r>
      <w:r>
        <w:rPr>
          <w:rFonts w:hint="eastAsia" w:ascii="方正书宋简体" w:hAnsi="方正书宋简体" w:eastAsia="方正书宋简体" w:cs="方正书宋简体"/>
          <w:color w:val="auto"/>
          <w:sz w:val="21"/>
          <w:szCs w:val="21"/>
        </w:rPr>
        <w:t xml:space="preserve">  学生根据基本申请条件及其他有关规定，自愿提出书面申请交辅导员。辅导员组织初步评议后，组织申请人填写《安徽省本专科生国家励志奖学金申请表》，连同申请书和其他材料一并交系部。</w:t>
      </w:r>
    </w:p>
    <w:p w14:paraId="42B474D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第十二条</w:t>
      </w:r>
      <w:r>
        <w:rPr>
          <w:rFonts w:hint="eastAsia" w:ascii="方正书宋简体" w:hAnsi="方正书宋简体" w:eastAsia="方正书宋简体" w:cs="方正书宋简体"/>
          <w:color w:val="auto"/>
          <w:sz w:val="21"/>
          <w:szCs w:val="21"/>
        </w:rPr>
        <w:t xml:space="preserve">  各系召开系领导、学工干事、辅导员会议研究审核，并将推荐人员公示</w:t>
      </w:r>
      <w:r>
        <w:rPr>
          <w:rFonts w:hint="eastAsia" w:ascii="方正书宋简体" w:hAnsi="方正书宋简体" w:eastAsia="方正书宋简体" w:cs="方正书宋简体"/>
          <w:color w:val="FF0000"/>
          <w:sz w:val="21"/>
          <w:szCs w:val="21"/>
        </w:rPr>
        <w:t>5</w:t>
      </w:r>
      <w:r>
        <w:rPr>
          <w:rFonts w:hint="eastAsia" w:ascii="方正书宋简体" w:hAnsi="方正书宋简体" w:eastAsia="方正书宋简体" w:cs="方正书宋简体"/>
          <w:color w:val="auto"/>
          <w:sz w:val="21"/>
          <w:szCs w:val="21"/>
        </w:rPr>
        <w:t>个工作日。</w:t>
      </w:r>
    </w:p>
    <w:p w14:paraId="22A7F62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第十三条</w:t>
      </w:r>
      <w:r>
        <w:rPr>
          <w:rFonts w:hint="eastAsia" w:ascii="方正书宋简体" w:hAnsi="方正书宋简体" w:eastAsia="方正书宋简体" w:cs="方正书宋简体"/>
          <w:color w:val="auto"/>
          <w:sz w:val="21"/>
          <w:szCs w:val="21"/>
        </w:rPr>
        <w:t xml:space="preserve">  学院“资助中心”组织召开“奖学金、助学金评审委员会”评审，提出申报国家励志奖学金学生建议名单，报学院领导集体研究通过后，在校内进行不少于5个工作日的公示。公示无异议后，于规定时间报省教育厅。</w:t>
      </w:r>
    </w:p>
    <w:p w14:paraId="7691568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第十四条</w:t>
      </w:r>
      <w:r>
        <w:rPr>
          <w:rFonts w:hint="eastAsia" w:ascii="方正书宋简体" w:hAnsi="方正书宋简体" w:eastAsia="方正书宋简体" w:cs="方正书宋简体"/>
          <w:color w:val="auto"/>
          <w:sz w:val="21"/>
          <w:szCs w:val="21"/>
        </w:rPr>
        <w:t xml:space="preserve">  经上级批复后，学院于规定时间将国家励志奖学金一次性发放给获奖学生，并记入学生学籍档案。</w:t>
      </w:r>
    </w:p>
    <w:p w14:paraId="4955F05C">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7865CA79">
      <w:pPr>
        <w:pStyle w:val="3"/>
        <w:rPr>
          <w:rFonts w:hint="eastAsia"/>
        </w:rPr>
      </w:pPr>
      <w:bookmarkStart w:id="93" w:name="_Toc10967"/>
      <w:bookmarkStart w:id="94" w:name="_Toc31722"/>
      <w:r>
        <w:rPr>
          <w:rFonts w:hint="eastAsia"/>
        </w:rPr>
        <w:t>第四章  管理与监督</w:t>
      </w:r>
      <w:bookmarkEnd w:id="93"/>
      <w:bookmarkEnd w:id="94"/>
    </w:p>
    <w:p w14:paraId="35F6174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color w:val="auto"/>
          <w:sz w:val="21"/>
          <w:szCs w:val="21"/>
        </w:rPr>
      </w:pPr>
    </w:p>
    <w:p w14:paraId="4B619A0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第十五条</w:t>
      </w:r>
      <w:r>
        <w:rPr>
          <w:rFonts w:hint="eastAsia" w:ascii="方正书宋简体" w:hAnsi="方正书宋简体" w:eastAsia="方正书宋简体" w:cs="方正书宋简体"/>
          <w:color w:val="auto"/>
          <w:sz w:val="21"/>
          <w:szCs w:val="21"/>
        </w:rPr>
        <w:t>　国家励志奖学金评审工作坚持公开、公平、公正、择优的原则。</w:t>
      </w:r>
    </w:p>
    <w:p w14:paraId="7620866C">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第十六条</w:t>
      </w:r>
      <w:r>
        <w:rPr>
          <w:rFonts w:hint="eastAsia" w:ascii="方正书宋简体" w:hAnsi="方正书宋简体" w:eastAsia="方正书宋简体" w:cs="方正书宋简体"/>
          <w:color w:val="auto"/>
          <w:sz w:val="21"/>
          <w:szCs w:val="21"/>
        </w:rPr>
        <w:t>　学院要切实加强管理，认真做好国家励志奖学金的评审和发放工作，确保国家奖励志学金用于奖励品学兼优的家庭经济困难学生。</w:t>
      </w:r>
    </w:p>
    <w:p w14:paraId="288CC6A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第十七条</w:t>
      </w:r>
      <w:r>
        <w:rPr>
          <w:rFonts w:hint="eastAsia" w:ascii="方正书宋简体" w:hAnsi="方正书宋简体" w:eastAsia="方正书宋简体" w:cs="方正书宋简体"/>
          <w:color w:val="auto"/>
          <w:sz w:val="21"/>
          <w:szCs w:val="21"/>
        </w:rPr>
        <w:t>　学院执行国家相关财经法规和本办法的规定，对国家励志奖学金实行分账核算，专款专用，不得截留、挤占、挪用，同时接受财政、审计、纪检监察、主管机关等部门的检查和监督。</w:t>
      </w:r>
    </w:p>
    <w:p w14:paraId="5EFB785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5A0B4D66">
      <w:pPr>
        <w:pStyle w:val="3"/>
        <w:rPr>
          <w:rFonts w:hint="eastAsia"/>
        </w:rPr>
      </w:pPr>
      <w:bookmarkStart w:id="95" w:name="_Toc28320"/>
      <w:bookmarkStart w:id="96" w:name="_Toc5224"/>
      <w:r>
        <w:rPr>
          <w:rFonts w:hint="eastAsia"/>
        </w:rPr>
        <w:t>第五章  附 则</w:t>
      </w:r>
      <w:bookmarkEnd w:id="95"/>
      <w:bookmarkEnd w:id="96"/>
    </w:p>
    <w:p w14:paraId="27FB7004">
      <w:pPr>
        <w:pStyle w:val="3"/>
        <w:outlineLvl w:val="9"/>
        <w:rPr>
          <w:rFonts w:hint="eastAsia"/>
        </w:rPr>
      </w:pPr>
    </w:p>
    <w:p w14:paraId="78298B4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第十八条</w:t>
      </w:r>
      <w:r>
        <w:rPr>
          <w:rFonts w:hint="eastAsia" w:ascii="方正书宋简体" w:hAnsi="方正书宋简体" w:eastAsia="方正书宋简体" w:cs="方正书宋简体"/>
          <w:color w:val="auto"/>
          <w:sz w:val="21"/>
          <w:szCs w:val="21"/>
        </w:rPr>
        <w:t xml:space="preserve">  本办法自2017年9月起</w:t>
      </w:r>
      <w:r>
        <w:rPr>
          <w:rFonts w:hint="eastAsia" w:ascii="方正书宋简体" w:hAnsi="方正书宋简体" w:eastAsia="方正书宋简体" w:cs="方正书宋简体"/>
          <w:color w:val="auto"/>
          <w:sz w:val="21"/>
          <w:szCs w:val="21"/>
          <w:lang w:val="en-US" w:eastAsia="zh-CN"/>
        </w:rPr>
        <w:t>施</w:t>
      </w:r>
      <w:r>
        <w:rPr>
          <w:rFonts w:hint="eastAsia" w:ascii="方正书宋简体" w:hAnsi="方正书宋简体" w:eastAsia="方正书宋简体" w:cs="方正书宋简体"/>
          <w:color w:val="auto"/>
          <w:sz w:val="21"/>
          <w:szCs w:val="21"/>
        </w:rPr>
        <w:t>行。</w:t>
      </w:r>
    </w:p>
    <w:p w14:paraId="3E274E1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第十九条</w:t>
      </w:r>
      <w:r>
        <w:rPr>
          <w:rFonts w:hint="eastAsia" w:ascii="方正书宋简体" w:hAnsi="方正书宋简体" w:eastAsia="方正书宋简体" w:cs="方正书宋简体"/>
          <w:color w:val="auto"/>
          <w:sz w:val="21"/>
          <w:szCs w:val="21"/>
        </w:rPr>
        <w:t xml:space="preserve">  本办法</w:t>
      </w:r>
      <w:r>
        <w:rPr>
          <w:rFonts w:hint="eastAsia" w:ascii="方正书宋简体" w:hAnsi="方正书宋简体" w:eastAsia="方正书宋简体" w:cs="方正书宋简体"/>
          <w:color w:val="auto"/>
          <w:sz w:val="21"/>
          <w:szCs w:val="21"/>
          <w:lang w:val="en-US" w:eastAsia="zh-CN"/>
        </w:rPr>
        <w:t>由</w:t>
      </w:r>
      <w:r>
        <w:rPr>
          <w:rFonts w:hint="eastAsia" w:ascii="方正书宋简体" w:hAnsi="方正书宋简体" w:eastAsia="方正书宋简体" w:cs="方正书宋简体"/>
          <w:color w:val="auto"/>
          <w:sz w:val="21"/>
          <w:szCs w:val="21"/>
        </w:rPr>
        <w:t>学院学生资助管理中心</w:t>
      </w:r>
      <w:r>
        <w:rPr>
          <w:rFonts w:hint="eastAsia" w:ascii="方正书宋简体" w:hAnsi="方正书宋简体" w:eastAsia="方正书宋简体" w:cs="方正书宋简体"/>
          <w:color w:val="auto"/>
          <w:sz w:val="21"/>
          <w:szCs w:val="21"/>
          <w:lang w:val="en-US" w:eastAsia="zh-CN"/>
        </w:rPr>
        <w:t>负责解释</w:t>
      </w:r>
      <w:r>
        <w:rPr>
          <w:rFonts w:hint="eastAsia" w:ascii="方正书宋简体" w:hAnsi="方正书宋简体" w:eastAsia="方正书宋简体" w:cs="方正书宋简体"/>
          <w:color w:val="auto"/>
          <w:sz w:val="21"/>
          <w:szCs w:val="21"/>
        </w:rPr>
        <w:t>。</w:t>
      </w:r>
    </w:p>
    <w:p w14:paraId="4F18C133">
      <w:pPr>
        <w:pageBreakBefore w:val="0"/>
        <w:overflowPunct/>
        <w:topLinePunct w:val="0"/>
        <w:bidi w:val="0"/>
        <w:spacing w:line="400" w:lineRule="exact"/>
        <w:ind w:left="0" w:leftChars="0" w:right="0" w:firstLine="420" w:firstLineChars="200"/>
        <w:rPr>
          <w:rFonts w:hint="eastAsia" w:ascii="方正书宋简体" w:hAnsi="方正书宋简体" w:eastAsia="方正书宋简体" w:cs="方正书宋简体"/>
          <w:color w:val="auto"/>
          <w:sz w:val="21"/>
          <w:szCs w:val="21"/>
        </w:rPr>
      </w:pPr>
    </w:p>
    <w:p w14:paraId="41C4369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b w:val="0"/>
          <w:bCs/>
          <w:sz w:val="21"/>
          <w:szCs w:val="21"/>
          <w:lang w:val="en-US" w:eastAsia="zh-CN"/>
        </w:rPr>
      </w:pPr>
      <w:r>
        <w:rPr>
          <w:rFonts w:hint="eastAsia" w:ascii="方正书宋简体" w:hAnsi="方正书宋简体" w:eastAsia="方正书宋简体" w:cs="方正书宋简体"/>
          <w:b w:val="0"/>
          <w:bCs/>
          <w:sz w:val="21"/>
          <w:szCs w:val="21"/>
          <w:lang w:val="en-US" w:eastAsia="zh-CN"/>
        </w:rPr>
        <w:br w:type="page"/>
      </w:r>
    </w:p>
    <w:p w14:paraId="36E4885C">
      <w:pPr>
        <w:pStyle w:val="2"/>
        <w:rPr>
          <w:rFonts w:hint="eastAsia"/>
        </w:rPr>
      </w:pPr>
      <w:bookmarkStart w:id="97" w:name="_Toc5811"/>
      <w:bookmarkStart w:id="98" w:name="_Toc19220"/>
      <w:bookmarkStart w:id="99" w:name="_Toc19063"/>
      <w:bookmarkStart w:id="100" w:name="_Toc32202"/>
      <w:bookmarkStart w:id="101" w:name="_Toc20523"/>
      <w:bookmarkStart w:id="102" w:name="_Toc15484"/>
      <w:bookmarkStart w:id="103" w:name="_Toc19150"/>
      <w:bookmarkStart w:id="104" w:name="_Toc29751"/>
      <w:r>
        <w:rPr>
          <w:rFonts w:hint="eastAsia"/>
        </w:rPr>
        <w:t>安徽电气工程职业技术学院</w:t>
      </w:r>
      <w:bookmarkEnd w:id="97"/>
      <w:bookmarkEnd w:id="98"/>
      <w:bookmarkEnd w:id="99"/>
      <w:bookmarkEnd w:id="100"/>
      <w:bookmarkEnd w:id="101"/>
      <w:bookmarkEnd w:id="102"/>
      <w:bookmarkEnd w:id="103"/>
      <w:bookmarkEnd w:id="104"/>
      <w:bookmarkStart w:id="105" w:name="安徽电气工程职业技术学院国家助学金评审办法"/>
    </w:p>
    <w:p w14:paraId="6016D4AB">
      <w:pPr>
        <w:pStyle w:val="2"/>
        <w:rPr>
          <w:rFonts w:hint="eastAsia"/>
        </w:rPr>
      </w:pPr>
      <w:bookmarkStart w:id="106" w:name="_Toc6528"/>
      <w:bookmarkStart w:id="107" w:name="_Toc28616"/>
      <w:bookmarkStart w:id="108" w:name="_Toc19113"/>
      <w:bookmarkStart w:id="109" w:name="_Toc18145"/>
      <w:bookmarkStart w:id="110" w:name="_Toc5920"/>
      <w:bookmarkStart w:id="111" w:name="_Toc16813"/>
      <w:bookmarkStart w:id="112" w:name="_Toc14553"/>
      <w:bookmarkStart w:id="113" w:name="_Toc22586"/>
      <w:r>
        <w:rPr>
          <w:rFonts w:hint="eastAsia"/>
        </w:rPr>
        <w:t>国家助学金评审办法</w:t>
      </w:r>
      <w:bookmarkEnd w:id="105"/>
      <w:bookmarkEnd w:id="106"/>
      <w:bookmarkEnd w:id="107"/>
      <w:bookmarkEnd w:id="108"/>
      <w:bookmarkEnd w:id="109"/>
      <w:bookmarkEnd w:id="110"/>
      <w:bookmarkEnd w:id="111"/>
      <w:bookmarkEnd w:id="112"/>
      <w:bookmarkEnd w:id="113"/>
    </w:p>
    <w:p w14:paraId="7C6C620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color w:val="auto"/>
          <w:sz w:val="21"/>
          <w:szCs w:val="21"/>
        </w:rPr>
      </w:pPr>
    </w:p>
    <w:p w14:paraId="1C70B10C">
      <w:pPr>
        <w:pStyle w:val="3"/>
        <w:rPr>
          <w:rFonts w:hint="eastAsia"/>
        </w:rPr>
      </w:pPr>
      <w:bookmarkStart w:id="114" w:name="_Toc27885"/>
      <w:bookmarkStart w:id="115" w:name="_Toc13866"/>
      <w:r>
        <w:rPr>
          <w:rFonts w:hint="eastAsia"/>
        </w:rPr>
        <w:t>第一章</w:t>
      </w:r>
      <w:r>
        <w:rPr>
          <w:rFonts w:hint="eastAsia"/>
          <w:lang w:val="en-US" w:eastAsia="zh-CN"/>
        </w:rPr>
        <w:t xml:space="preserve">  </w:t>
      </w:r>
      <w:r>
        <w:rPr>
          <w:rFonts w:hint="eastAsia"/>
        </w:rPr>
        <w:t>总则</w:t>
      </w:r>
      <w:bookmarkEnd w:id="114"/>
      <w:bookmarkEnd w:id="115"/>
    </w:p>
    <w:p w14:paraId="74F7B669">
      <w:pPr>
        <w:rPr>
          <w:rFonts w:hint="eastAsia"/>
        </w:rPr>
      </w:pPr>
    </w:p>
    <w:p w14:paraId="2C34AB6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第一条</w:t>
      </w:r>
      <w:r>
        <w:rPr>
          <w:rFonts w:hint="eastAsia" w:ascii="方正书宋简体" w:hAnsi="方正书宋简体" w:eastAsia="方正书宋简体" w:cs="方正书宋简体"/>
          <w:b/>
          <w:color w:val="auto"/>
          <w:sz w:val="21"/>
          <w:szCs w:val="21"/>
          <w:lang w:val="en-US" w:eastAsia="zh-CN"/>
        </w:rPr>
        <w:t xml:space="preserve">  </w:t>
      </w:r>
      <w:r>
        <w:rPr>
          <w:rFonts w:hint="eastAsia" w:ascii="方正书宋简体" w:hAnsi="方正书宋简体" w:eastAsia="方正书宋简体" w:cs="方正书宋简体"/>
          <w:color w:val="auto"/>
          <w:sz w:val="21"/>
          <w:szCs w:val="21"/>
        </w:rPr>
        <w:t>为体现党和政府对学校家庭经济困难学生的关怀，帮助他们顺利完成学业，进一步规范国家助学金的评审程序，加强评审工作管理和监督，依据国家财政部、教育部《普通本科高校、高等职业学校国家助学金管理暂行办法》（财教〔2007〕92号），结合学校实际，制定本办法。</w:t>
      </w:r>
    </w:p>
    <w:p w14:paraId="7518EEF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第二条</w:t>
      </w:r>
      <w:r>
        <w:rPr>
          <w:rFonts w:hint="eastAsia" w:ascii="方正书宋简体" w:hAnsi="方正书宋简体" w:eastAsia="方正书宋简体" w:cs="方正书宋简体"/>
          <w:b/>
          <w:color w:val="auto"/>
          <w:sz w:val="21"/>
          <w:szCs w:val="21"/>
          <w:lang w:val="en-US" w:eastAsia="zh-CN"/>
        </w:rPr>
        <w:t xml:space="preserve">  </w:t>
      </w:r>
      <w:r>
        <w:rPr>
          <w:rFonts w:hint="eastAsia" w:ascii="方正书宋简体" w:hAnsi="方正书宋简体" w:eastAsia="方正书宋简体" w:cs="方正书宋简体"/>
          <w:color w:val="auto"/>
          <w:sz w:val="21"/>
          <w:szCs w:val="21"/>
        </w:rPr>
        <w:t>国家助学金是中央政府出资，为全日制普通高校家庭经济困难学生设立的。国家助学金以资助家庭经济困难学生的生活费为目的。凡我院有正式学籍的家庭经济困难的全日制在校学生，符合本办法规定条件者，均可申请国家助学金。</w:t>
      </w:r>
    </w:p>
    <w:p w14:paraId="78318EE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第三条</w:t>
      </w:r>
      <w:r>
        <w:rPr>
          <w:rFonts w:hint="eastAsia" w:ascii="方正书宋简体" w:hAnsi="方正书宋简体" w:eastAsia="方正书宋简体" w:cs="方正书宋简体"/>
          <w:color w:val="auto"/>
          <w:sz w:val="21"/>
          <w:szCs w:val="21"/>
        </w:rPr>
        <w:t xml:space="preserve"> </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在同一学年内，申请并获得国家助学金的学生，可同时申请并获得国家奖学金或国家励志奖学金。</w:t>
      </w:r>
    </w:p>
    <w:p w14:paraId="706DB8B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64B7D68E">
      <w:pPr>
        <w:pStyle w:val="3"/>
        <w:rPr>
          <w:rFonts w:hint="eastAsia"/>
        </w:rPr>
      </w:pPr>
      <w:bookmarkStart w:id="116" w:name="_Toc20322"/>
      <w:bookmarkStart w:id="117" w:name="_Toc27288"/>
      <w:r>
        <w:rPr>
          <w:rFonts w:hint="eastAsia"/>
        </w:rPr>
        <w:t xml:space="preserve">第二章 </w:t>
      </w:r>
      <w:r>
        <w:rPr>
          <w:rFonts w:hint="eastAsia"/>
          <w:lang w:val="en-US" w:eastAsia="zh-CN"/>
        </w:rPr>
        <w:t xml:space="preserve"> </w:t>
      </w:r>
      <w:r>
        <w:rPr>
          <w:rFonts w:hint="eastAsia"/>
        </w:rPr>
        <w:t>资助标准与申请条件</w:t>
      </w:r>
      <w:bookmarkEnd w:id="116"/>
      <w:bookmarkEnd w:id="117"/>
    </w:p>
    <w:p w14:paraId="5741AD9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color w:val="auto"/>
          <w:sz w:val="21"/>
          <w:szCs w:val="21"/>
        </w:rPr>
      </w:pPr>
    </w:p>
    <w:p w14:paraId="27B86B7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第四条</w:t>
      </w:r>
      <w:r>
        <w:rPr>
          <w:rFonts w:hint="eastAsia" w:ascii="方正书宋简体" w:hAnsi="方正书宋简体" w:eastAsia="方正书宋简体" w:cs="方正书宋简体"/>
          <w:b/>
          <w:color w:val="auto"/>
          <w:sz w:val="21"/>
          <w:szCs w:val="21"/>
          <w:lang w:val="en-US" w:eastAsia="zh-CN"/>
        </w:rPr>
        <w:t xml:space="preserve">  </w:t>
      </w:r>
      <w:r>
        <w:rPr>
          <w:rFonts w:hint="eastAsia" w:ascii="方正书宋简体" w:hAnsi="方正书宋简体" w:eastAsia="方正书宋简体" w:cs="方正书宋简体"/>
          <w:color w:val="auto"/>
          <w:sz w:val="21"/>
          <w:szCs w:val="21"/>
        </w:rPr>
        <w:t>国家助学金的平均资助标准为每生每年3</w:t>
      </w:r>
      <w:r>
        <w:rPr>
          <w:rFonts w:hint="eastAsia" w:ascii="方正书宋简体" w:hAnsi="方正书宋简体" w:eastAsia="方正书宋简体" w:cs="方正书宋简体"/>
          <w:color w:val="auto"/>
          <w:sz w:val="21"/>
          <w:szCs w:val="21"/>
          <w:lang w:val="en-US" w:eastAsia="zh-CN"/>
        </w:rPr>
        <w:t>3</w:t>
      </w:r>
      <w:r>
        <w:rPr>
          <w:rFonts w:hint="eastAsia" w:ascii="方正书宋简体" w:hAnsi="方正书宋简体" w:eastAsia="方正书宋简体" w:cs="方正书宋简体"/>
          <w:color w:val="auto"/>
          <w:sz w:val="21"/>
          <w:szCs w:val="21"/>
        </w:rPr>
        <w:t>00元，具体标准在每生每年2000-4</w:t>
      </w:r>
      <w:r>
        <w:rPr>
          <w:rFonts w:hint="eastAsia" w:ascii="方正书宋简体" w:hAnsi="方正书宋简体" w:eastAsia="方正书宋简体" w:cs="方正书宋简体"/>
          <w:color w:val="auto"/>
          <w:sz w:val="21"/>
          <w:szCs w:val="21"/>
          <w:lang w:val="en-US" w:eastAsia="zh-CN"/>
        </w:rPr>
        <w:t>5</w:t>
      </w:r>
      <w:r>
        <w:rPr>
          <w:rFonts w:hint="eastAsia" w:ascii="方正书宋简体" w:hAnsi="方正书宋简体" w:eastAsia="方正书宋简体" w:cs="方正书宋简体"/>
          <w:color w:val="auto"/>
          <w:sz w:val="21"/>
          <w:szCs w:val="21"/>
        </w:rPr>
        <w:t>00元范围内</w:t>
      </w:r>
      <w:r>
        <w:rPr>
          <w:rFonts w:hint="eastAsia" w:ascii="方正书宋简体" w:hAnsi="方正书宋简体" w:eastAsia="方正书宋简体" w:cs="方正书宋简体"/>
          <w:color w:val="auto"/>
          <w:sz w:val="21"/>
          <w:szCs w:val="21"/>
          <w:lang w:val="en-US" w:eastAsia="zh-CN"/>
        </w:rPr>
        <w:t>按三个档次予以</w:t>
      </w:r>
      <w:r>
        <w:rPr>
          <w:rFonts w:hint="eastAsia" w:ascii="方正书宋简体" w:hAnsi="方正书宋简体" w:eastAsia="方正书宋简体" w:cs="方正书宋简体"/>
          <w:color w:val="auto"/>
          <w:sz w:val="21"/>
          <w:szCs w:val="21"/>
        </w:rPr>
        <w:t>确定。我院国家助学金分档及各档标准</w:t>
      </w:r>
      <w:r>
        <w:rPr>
          <w:rFonts w:hint="eastAsia" w:ascii="方正书宋简体" w:hAnsi="方正书宋简体" w:eastAsia="方正书宋简体" w:cs="方正书宋简体"/>
          <w:color w:val="auto"/>
          <w:sz w:val="21"/>
          <w:szCs w:val="21"/>
          <w:lang w:val="en-US" w:eastAsia="zh-CN"/>
        </w:rPr>
        <w:t>为</w:t>
      </w:r>
      <w:r>
        <w:rPr>
          <w:rFonts w:hint="eastAsia" w:ascii="方正书宋简体" w:hAnsi="方正书宋简体" w:eastAsia="方正书宋简体" w:cs="方正书宋简体"/>
          <w:color w:val="auto"/>
          <w:sz w:val="21"/>
          <w:szCs w:val="21"/>
        </w:rPr>
        <w:t>：一档2000元、二档3000元、三档4</w:t>
      </w:r>
      <w:r>
        <w:rPr>
          <w:rFonts w:hint="eastAsia" w:ascii="方正书宋简体" w:hAnsi="方正书宋简体" w:eastAsia="方正书宋简体" w:cs="方正书宋简体"/>
          <w:color w:val="auto"/>
          <w:sz w:val="21"/>
          <w:szCs w:val="21"/>
          <w:lang w:val="en-US" w:eastAsia="zh-CN"/>
        </w:rPr>
        <w:t>500</w:t>
      </w:r>
      <w:r>
        <w:rPr>
          <w:rFonts w:hint="eastAsia" w:ascii="方正书宋简体" w:hAnsi="方正书宋简体" w:eastAsia="方正书宋简体" w:cs="方正书宋简体"/>
          <w:color w:val="auto"/>
          <w:sz w:val="21"/>
          <w:szCs w:val="21"/>
        </w:rPr>
        <w:t>元/年。</w:t>
      </w:r>
    </w:p>
    <w:p w14:paraId="3D9C841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FF0000"/>
          <w:sz w:val="21"/>
          <w:szCs w:val="21"/>
        </w:rPr>
      </w:pPr>
      <w:r>
        <w:rPr>
          <w:rFonts w:hint="eastAsia" w:ascii="方正书宋简体" w:hAnsi="方正书宋简体" w:eastAsia="方正书宋简体" w:cs="方正书宋简体"/>
          <w:b/>
          <w:bCs/>
          <w:color w:val="auto"/>
          <w:sz w:val="21"/>
          <w:szCs w:val="21"/>
        </w:rPr>
        <w:t>第五条</w:t>
      </w:r>
      <w:r>
        <w:rPr>
          <w:rFonts w:hint="eastAsia" w:ascii="方正书宋简体" w:hAnsi="方正书宋简体" w:eastAsia="方正书宋简体" w:cs="方正书宋简体"/>
          <w:color w:val="auto"/>
          <w:sz w:val="21"/>
          <w:szCs w:val="21"/>
        </w:rPr>
        <w:t xml:space="preserve"> </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FF0000"/>
          <w:sz w:val="21"/>
          <w:szCs w:val="21"/>
          <w:lang w:val="en-US" w:eastAsia="zh-CN"/>
        </w:rPr>
        <w:t>建档立卡</w:t>
      </w:r>
      <w:r>
        <w:rPr>
          <w:rFonts w:hint="eastAsia" w:ascii="方正书宋简体" w:hAnsi="方正书宋简体" w:eastAsia="方正书宋简体" w:cs="方正书宋简体"/>
          <w:color w:val="FF0000"/>
          <w:sz w:val="21"/>
          <w:szCs w:val="21"/>
        </w:rPr>
        <w:t>学生享受助学金的标准按省教育厅</w:t>
      </w:r>
      <w:r>
        <w:rPr>
          <w:rFonts w:hint="eastAsia" w:ascii="方正书宋简体" w:hAnsi="方正书宋简体" w:eastAsia="方正书宋简体" w:cs="方正书宋简体"/>
          <w:color w:val="FF0000"/>
          <w:sz w:val="21"/>
          <w:szCs w:val="21"/>
          <w:lang w:val="en-US" w:eastAsia="zh-CN"/>
        </w:rPr>
        <w:t>现行</w:t>
      </w:r>
      <w:r>
        <w:rPr>
          <w:rFonts w:hint="eastAsia" w:ascii="方正书宋简体" w:hAnsi="方正书宋简体" w:eastAsia="方正书宋简体" w:cs="方正书宋简体"/>
          <w:color w:val="FF0000"/>
          <w:sz w:val="21"/>
          <w:szCs w:val="21"/>
        </w:rPr>
        <w:t>文件要求执行。</w:t>
      </w:r>
    </w:p>
    <w:p w14:paraId="4EFCFC9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第六条</w:t>
      </w:r>
      <w:r>
        <w:rPr>
          <w:rFonts w:hint="eastAsia" w:ascii="方正书宋简体" w:hAnsi="方正书宋简体" w:eastAsia="方正书宋简体" w:cs="方正书宋简体"/>
          <w:b/>
          <w:color w:val="auto"/>
          <w:sz w:val="21"/>
          <w:szCs w:val="21"/>
          <w:lang w:val="en-US" w:eastAsia="zh-CN"/>
        </w:rPr>
        <w:t xml:space="preserve"> </w:t>
      </w:r>
      <w:r>
        <w:rPr>
          <w:rFonts w:hint="eastAsia" w:ascii="方正书宋简体" w:hAnsi="方正书宋简体" w:eastAsia="方正书宋简体" w:cs="方正书宋简体"/>
          <w:b/>
          <w:color w:val="auto"/>
          <w:sz w:val="21"/>
          <w:szCs w:val="21"/>
        </w:rPr>
        <w:t xml:space="preserve"> </w:t>
      </w:r>
      <w:r>
        <w:rPr>
          <w:rFonts w:hint="eastAsia" w:ascii="方正书宋简体" w:hAnsi="方正书宋简体" w:eastAsia="方正书宋简体" w:cs="方正书宋简体"/>
          <w:color w:val="auto"/>
          <w:sz w:val="21"/>
          <w:szCs w:val="21"/>
        </w:rPr>
        <w:t>国家助学金每学年评定一次，</w:t>
      </w:r>
      <w:r>
        <w:rPr>
          <w:rFonts w:hint="eastAsia" w:ascii="方正书宋简体" w:hAnsi="方正书宋简体" w:eastAsia="方正书宋简体" w:cs="方正书宋简体"/>
          <w:color w:val="auto"/>
          <w:sz w:val="21"/>
          <w:szCs w:val="21"/>
          <w:lang w:val="en-US" w:eastAsia="zh-CN"/>
        </w:rPr>
        <w:t>按学期分两次发放</w:t>
      </w:r>
      <w:r>
        <w:rPr>
          <w:rFonts w:hint="eastAsia" w:ascii="方正书宋简体" w:hAnsi="方正书宋简体" w:eastAsia="方正书宋简体" w:cs="方正书宋简体"/>
          <w:color w:val="auto"/>
          <w:sz w:val="21"/>
          <w:szCs w:val="21"/>
        </w:rPr>
        <w:t xml:space="preserve">。 </w:t>
      </w:r>
    </w:p>
    <w:p w14:paraId="5809B69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lang w:eastAsia="zh-CN"/>
        </w:rPr>
      </w:pPr>
      <w:r>
        <w:rPr>
          <w:rFonts w:hint="eastAsia" w:ascii="方正书宋简体" w:hAnsi="方正书宋简体" w:eastAsia="方正书宋简体" w:cs="方正书宋简体"/>
          <w:b/>
          <w:color w:val="auto"/>
          <w:sz w:val="21"/>
          <w:szCs w:val="21"/>
        </w:rPr>
        <w:t>第七条</w:t>
      </w:r>
      <w:r>
        <w:rPr>
          <w:rFonts w:hint="eastAsia" w:ascii="方正书宋简体" w:hAnsi="方正书宋简体" w:eastAsia="方正书宋简体" w:cs="方正书宋简体"/>
          <w:b/>
          <w:color w:val="auto"/>
          <w:sz w:val="21"/>
          <w:szCs w:val="21"/>
          <w:lang w:val="en-US" w:eastAsia="zh-CN"/>
        </w:rPr>
        <w:t xml:space="preserve"> </w:t>
      </w:r>
      <w:r>
        <w:rPr>
          <w:rFonts w:hint="eastAsia" w:ascii="方正书宋简体" w:hAnsi="方正书宋简体" w:eastAsia="方正书宋简体" w:cs="方正书宋简体"/>
          <w:color w:val="auto"/>
          <w:sz w:val="21"/>
          <w:szCs w:val="21"/>
        </w:rPr>
        <w:t xml:space="preserve"> 申请国家助学金的基本条件</w:t>
      </w:r>
      <w:r>
        <w:rPr>
          <w:rFonts w:hint="eastAsia" w:ascii="方正书宋简体" w:hAnsi="方正书宋简体" w:eastAsia="方正书宋简体" w:cs="方正书宋简体"/>
          <w:color w:val="auto"/>
          <w:sz w:val="21"/>
          <w:szCs w:val="21"/>
          <w:lang w:eastAsia="zh-CN"/>
        </w:rPr>
        <w:t>：</w:t>
      </w:r>
    </w:p>
    <w:p w14:paraId="0778B8CC">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1</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热爱社会主义祖国，拥护中国共产党的领导；</w:t>
      </w:r>
    </w:p>
    <w:p w14:paraId="5905986C">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2</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遵守宪法和法律，遵守学院规章制度；</w:t>
      </w:r>
    </w:p>
    <w:p w14:paraId="0533B1E8">
      <w:pPr>
        <w:keepNext w:val="0"/>
        <w:keepLines w:val="0"/>
        <w:pageBreakBefore w:val="0"/>
        <w:widowControl w:val="0"/>
        <w:tabs>
          <w:tab w:val="left" w:pos="1075"/>
          <w:tab w:val="left" w:pos="1440"/>
        </w:tabs>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3</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诚实守信，道德品质优良；</w:t>
      </w:r>
    </w:p>
    <w:p w14:paraId="133C6041">
      <w:pPr>
        <w:keepNext w:val="0"/>
        <w:keepLines w:val="0"/>
        <w:pageBreakBefore w:val="0"/>
        <w:widowControl w:val="0"/>
        <w:tabs>
          <w:tab w:val="left" w:pos="1075"/>
          <w:tab w:val="left" w:pos="1440"/>
        </w:tabs>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4</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积极参加学院教育教学活动；</w:t>
      </w:r>
    </w:p>
    <w:p w14:paraId="44F3302C">
      <w:pPr>
        <w:keepNext w:val="0"/>
        <w:keepLines w:val="0"/>
        <w:pageBreakBefore w:val="0"/>
        <w:widowControl w:val="0"/>
        <w:tabs>
          <w:tab w:val="left" w:pos="1075"/>
          <w:tab w:val="left" w:pos="1440"/>
        </w:tabs>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5</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勤奋学习，积极上进；</w:t>
      </w:r>
    </w:p>
    <w:p w14:paraId="36CC0DD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6</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家庭经济困难、生活俭朴，取得学院</w:t>
      </w:r>
      <w:r>
        <w:rPr>
          <w:rFonts w:hint="eastAsia" w:ascii="方正书宋简体" w:hAnsi="方正书宋简体" w:eastAsia="方正书宋简体" w:cs="方正书宋简体"/>
          <w:color w:val="auto"/>
          <w:sz w:val="21"/>
          <w:szCs w:val="21"/>
          <w:lang w:val="en-US" w:eastAsia="zh-CN"/>
        </w:rPr>
        <w:t>家庭</w:t>
      </w:r>
      <w:r>
        <w:rPr>
          <w:rFonts w:hint="eastAsia" w:ascii="方正书宋简体" w:hAnsi="方正书宋简体" w:eastAsia="方正书宋简体" w:cs="方正书宋简体"/>
          <w:color w:val="auto"/>
          <w:sz w:val="21"/>
          <w:szCs w:val="21"/>
        </w:rPr>
        <w:t>经济困难学生资助资格（学院</w:t>
      </w:r>
      <w:r>
        <w:rPr>
          <w:rFonts w:hint="eastAsia" w:ascii="方正书宋简体" w:hAnsi="方正书宋简体" w:eastAsia="方正书宋简体" w:cs="方正书宋简体"/>
          <w:color w:val="auto"/>
          <w:sz w:val="21"/>
          <w:szCs w:val="21"/>
          <w:lang w:val="en-US" w:eastAsia="zh-CN"/>
        </w:rPr>
        <w:t>家庭经济困难学</w:t>
      </w:r>
      <w:r>
        <w:rPr>
          <w:rFonts w:hint="eastAsia" w:ascii="方正书宋简体" w:hAnsi="方正书宋简体" w:eastAsia="方正书宋简体" w:cs="方正书宋简体"/>
          <w:color w:val="auto"/>
          <w:sz w:val="21"/>
          <w:szCs w:val="21"/>
        </w:rPr>
        <w:t>生资料库</w:t>
      </w:r>
      <w:r>
        <w:rPr>
          <w:rFonts w:hint="eastAsia" w:ascii="方正书宋简体" w:hAnsi="方正书宋简体" w:eastAsia="方正书宋简体" w:cs="方正书宋简体"/>
          <w:color w:val="auto"/>
          <w:sz w:val="21"/>
          <w:szCs w:val="21"/>
          <w:lang w:val="en-US" w:eastAsia="zh-CN"/>
        </w:rPr>
        <w:t>入库</w:t>
      </w:r>
      <w:r>
        <w:rPr>
          <w:rFonts w:hint="eastAsia" w:ascii="方正书宋简体" w:hAnsi="方正书宋简体" w:eastAsia="方正书宋简体" w:cs="方正书宋简体"/>
          <w:color w:val="auto"/>
          <w:sz w:val="21"/>
          <w:szCs w:val="21"/>
        </w:rPr>
        <w:t>人员）。</w:t>
      </w:r>
    </w:p>
    <w:p w14:paraId="6C19442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lang w:eastAsia="zh-CN"/>
        </w:rPr>
      </w:pPr>
      <w:r>
        <w:rPr>
          <w:rFonts w:hint="eastAsia" w:ascii="方正书宋简体" w:hAnsi="方正书宋简体" w:eastAsia="方正书宋简体" w:cs="方正书宋简体"/>
          <w:b/>
          <w:color w:val="auto"/>
          <w:sz w:val="21"/>
          <w:szCs w:val="21"/>
        </w:rPr>
        <w:t>第八条</w:t>
      </w:r>
      <w:r>
        <w:rPr>
          <w:rFonts w:hint="eastAsia" w:ascii="方正书宋简体" w:hAnsi="方正书宋简体" w:eastAsia="方正书宋简体" w:cs="方正书宋简体"/>
          <w:b/>
          <w:color w:val="auto"/>
          <w:sz w:val="21"/>
          <w:szCs w:val="21"/>
          <w:lang w:val="en-US" w:eastAsia="zh-CN"/>
        </w:rPr>
        <w:t xml:space="preserve"> </w:t>
      </w:r>
      <w:r>
        <w:rPr>
          <w:rFonts w:hint="eastAsia" w:ascii="方正书宋简体" w:hAnsi="方正书宋简体" w:eastAsia="方正书宋简体" w:cs="方正书宋简体"/>
          <w:color w:val="auto"/>
          <w:sz w:val="21"/>
          <w:szCs w:val="21"/>
        </w:rPr>
        <w:t xml:space="preserve"> 学生有下列情况之一，不得申请国家助学金</w:t>
      </w:r>
      <w:r>
        <w:rPr>
          <w:rFonts w:hint="eastAsia" w:ascii="方正书宋简体" w:hAnsi="方正书宋简体" w:eastAsia="方正书宋简体" w:cs="方正书宋简体"/>
          <w:color w:val="auto"/>
          <w:sz w:val="21"/>
          <w:szCs w:val="21"/>
          <w:lang w:eastAsia="zh-CN"/>
        </w:rPr>
        <w:t>：</w:t>
      </w:r>
    </w:p>
    <w:p w14:paraId="7AB74CA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1</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本学年度受到学院行政纪律处分，尚未解除者；</w:t>
      </w:r>
    </w:p>
    <w:p w14:paraId="30E3DF7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lang w:eastAsia="zh-CN"/>
        </w:rPr>
      </w:pPr>
      <w:r>
        <w:rPr>
          <w:rFonts w:hint="eastAsia" w:ascii="方正书宋简体" w:hAnsi="方正书宋简体" w:eastAsia="方正书宋简体" w:cs="方正书宋简体"/>
          <w:color w:val="auto"/>
          <w:sz w:val="21"/>
          <w:szCs w:val="21"/>
        </w:rPr>
        <w:t>2</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有严重弄虚作假行为或有不诚信纪录者</w:t>
      </w:r>
      <w:r>
        <w:rPr>
          <w:rFonts w:hint="eastAsia" w:ascii="方正书宋简体" w:hAnsi="方正书宋简体" w:eastAsia="方正书宋简体" w:cs="方正书宋简体"/>
          <w:color w:val="auto"/>
          <w:sz w:val="21"/>
          <w:szCs w:val="21"/>
          <w:lang w:eastAsia="zh-CN"/>
        </w:rPr>
        <w:t>。</w:t>
      </w:r>
    </w:p>
    <w:p w14:paraId="13BEA09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lang w:eastAsia="zh-CN"/>
        </w:rPr>
      </w:pPr>
    </w:p>
    <w:p w14:paraId="30EFB783">
      <w:pPr>
        <w:pStyle w:val="3"/>
        <w:rPr>
          <w:rFonts w:hint="eastAsia"/>
        </w:rPr>
      </w:pPr>
      <w:bookmarkStart w:id="118" w:name="_Toc32762"/>
      <w:bookmarkStart w:id="119" w:name="_Toc4293"/>
      <w:r>
        <w:rPr>
          <w:rFonts w:hint="eastAsia"/>
        </w:rPr>
        <w:t>第三章</w:t>
      </w:r>
      <w:r>
        <w:rPr>
          <w:rFonts w:hint="eastAsia"/>
          <w:lang w:val="en-US" w:eastAsia="zh-CN"/>
        </w:rPr>
        <w:t xml:space="preserve">  </w:t>
      </w:r>
      <w:r>
        <w:rPr>
          <w:rFonts w:hint="eastAsia"/>
        </w:rPr>
        <w:t>申请与评审程序</w:t>
      </w:r>
      <w:bookmarkEnd w:id="118"/>
      <w:bookmarkEnd w:id="119"/>
    </w:p>
    <w:p w14:paraId="6B2EBF7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color w:val="auto"/>
          <w:sz w:val="21"/>
          <w:szCs w:val="21"/>
        </w:rPr>
      </w:pPr>
    </w:p>
    <w:p w14:paraId="14F116B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第九条</w:t>
      </w:r>
      <w:r>
        <w:rPr>
          <w:rFonts w:hint="eastAsia" w:ascii="方正书宋简体" w:hAnsi="方正书宋简体" w:eastAsia="方正书宋简体" w:cs="方正书宋简体"/>
          <w:b/>
          <w:color w:val="auto"/>
          <w:sz w:val="21"/>
          <w:szCs w:val="21"/>
          <w:lang w:val="en-US" w:eastAsia="zh-CN"/>
        </w:rPr>
        <w:t xml:space="preserve"> </w:t>
      </w:r>
      <w:r>
        <w:rPr>
          <w:rFonts w:hint="eastAsia" w:ascii="方正书宋简体" w:hAnsi="方正书宋简体" w:eastAsia="方正书宋简体" w:cs="方正书宋简体"/>
          <w:color w:val="auto"/>
          <w:sz w:val="21"/>
          <w:szCs w:val="21"/>
        </w:rPr>
        <w:t xml:space="preserve"> 国家助学金按</w:t>
      </w:r>
      <w:r>
        <w:rPr>
          <w:rFonts w:hint="eastAsia" w:ascii="方正书宋简体" w:hAnsi="方正书宋简体" w:eastAsia="方正书宋简体" w:cs="方正书宋简体"/>
          <w:color w:val="auto"/>
          <w:sz w:val="21"/>
          <w:szCs w:val="21"/>
          <w:lang w:val="en-US" w:eastAsia="zh-CN"/>
        </w:rPr>
        <w:t>学</w:t>
      </w:r>
      <w:r>
        <w:rPr>
          <w:rFonts w:hint="eastAsia" w:ascii="方正书宋简体" w:hAnsi="方正书宋简体" w:eastAsia="方正书宋简体" w:cs="方正书宋简体"/>
          <w:color w:val="auto"/>
          <w:sz w:val="21"/>
          <w:szCs w:val="21"/>
        </w:rPr>
        <w:t>年度申请和评审，学院每年9月1日开始受理申请，当年10月31日前完成评审。</w:t>
      </w:r>
    </w:p>
    <w:p w14:paraId="1A80FD8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第十条</w:t>
      </w:r>
      <w:r>
        <w:rPr>
          <w:rFonts w:hint="eastAsia" w:ascii="方正书宋简体" w:hAnsi="方正书宋简体" w:eastAsia="方正书宋简体" w:cs="方正书宋简体"/>
          <w:b/>
          <w:color w:val="auto"/>
          <w:sz w:val="21"/>
          <w:szCs w:val="21"/>
          <w:lang w:val="en-US" w:eastAsia="zh-CN"/>
        </w:rPr>
        <w:t xml:space="preserve"> </w:t>
      </w:r>
      <w:r>
        <w:rPr>
          <w:rFonts w:hint="eastAsia" w:ascii="方正书宋简体" w:hAnsi="方正书宋简体" w:eastAsia="方正书宋简体" w:cs="方正书宋简体"/>
          <w:b/>
          <w:color w:val="auto"/>
          <w:sz w:val="21"/>
          <w:szCs w:val="21"/>
        </w:rPr>
        <w:t xml:space="preserve"> </w:t>
      </w:r>
      <w:r>
        <w:rPr>
          <w:rFonts w:hint="eastAsia" w:ascii="方正书宋简体" w:hAnsi="方正书宋简体" w:eastAsia="方正书宋简体" w:cs="方正书宋简体"/>
          <w:color w:val="auto"/>
          <w:sz w:val="21"/>
          <w:szCs w:val="21"/>
        </w:rPr>
        <w:t>学院根据上级主管部门下达的国家助学金名额，按各系现有在籍全日制普通专科学生数、</w:t>
      </w:r>
      <w:r>
        <w:rPr>
          <w:rFonts w:hint="eastAsia" w:ascii="方正书宋简体" w:hAnsi="方正书宋简体" w:eastAsia="方正书宋简体" w:cs="方正书宋简体"/>
          <w:color w:val="auto"/>
          <w:sz w:val="21"/>
          <w:szCs w:val="21"/>
          <w:lang w:val="en-US" w:eastAsia="zh-CN"/>
        </w:rPr>
        <w:t>家庭经济困难学</w:t>
      </w:r>
      <w:r>
        <w:rPr>
          <w:rFonts w:hint="eastAsia" w:ascii="方正书宋简体" w:hAnsi="方正书宋简体" w:eastAsia="方正书宋简体" w:cs="方正书宋简体"/>
          <w:color w:val="auto"/>
          <w:sz w:val="21"/>
          <w:szCs w:val="21"/>
        </w:rPr>
        <w:t>生数等因素分配国家助学金指标（</w:t>
      </w:r>
      <w:r>
        <w:rPr>
          <w:rFonts w:hint="eastAsia" w:ascii="方正书宋简体" w:hAnsi="方正书宋简体" w:eastAsia="方正书宋简体" w:cs="方正书宋简体"/>
          <w:color w:val="auto"/>
          <w:sz w:val="21"/>
          <w:szCs w:val="21"/>
          <w:lang w:val="en-US" w:eastAsia="zh-CN"/>
        </w:rPr>
        <w:t>含</w:t>
      </w:r>
      <w:r>
        <w:rPr>
          <w:rFonts w:hint="eastAsia" w:ascii="方正书宋简体" w:hAnsi="方正书宋简体" w:eastAsia="方正书宋简体" w:cs="方正书宋简体"/>
          <w:color w:val="auto"/>
          <w:sz w:val="21"/>
          <w:szCs w:val="21"/>
        </w:rPr>
        <w:t>名额、档次）。</w:t>
      </w:r>
    </w:p>
    <w:p w14:paraId="7890C6C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lang w:eastAsia="zh-CN"/>
        </w:rPr>
      </w:pPr>
      <w:r>
        <w:rPr>
          <w:rFonts w:hint="eastAsia" w:ascii="方正书宋简体" w:hAnsi="方正书宋简体" w:eastAsia="方正书宋简体" w:cs="方正书宋简体"/>
          <w:b/>
          <w:color w:val="auto"/>
          <w:sz w:val="21"/>
          <w:szCs w:val="21"/>
        </w:rPr>
        <w:t>第十一条</w:t>
      </w:r>
      <w:r>
        <w:rPr>
          <w:rFonts w:hint="eastAsia" w:ascii="方正书宋简体" w:hAnsi="方正书宋简体" w:eastAsia="方正书宋简体" w:cs="方正书宋简体"/>
          <w:color w:val="auto"/>
          <w:sz w:val="21"/>
          <w:szCs w:val="21"/>
        </w:rPr>
        <w:t xml:space="preserve"> </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符合国家助学金申请条件的学生，可在规定的时间向所在系提出书面申请，并递交《普通本科高校、高等职业学院国家助学金申请表》</w:t>
      </w:r>
      <w:r>
        <w:rPr>
          <w:rFonts w:hint="eastAsia" w:ascii="方正书宋简体" w:hAnsi="方正书宋简体" w:eastAsia="方正书宋简体" w:cs="方正书宋简体"/>
          <w:color w:val="auto"/>
          <w:sz w:val="21"/>
          <w:szCs w:val="21"/>
          <w:lang w:eastAsia="zh-CN"/>
        </w:rPr>
        <w:t>。</w:t>
      </w:r>
    </w:p>
    <w:p w14:paraId="3C2C4973">
      <w:pPr>
        <w:pStyle w:val="7"/>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b w:val="0"/>
          <w:color w:val="auto"/>
          <w:sz w:val="21"/>
          <w:szCs w:val="21"/>
        </w:rPr>
      </w:pPr>
      <w:r>
        <w:rPr>
          <w:rFonts w:hint="eastAsia" w:ascii="方正书宋简体" w:hAnsi="方正书宋简体" w:eastAsia="方正书宋简体" w:cs="方正书宋简体"/>
          <w:color w:val="auto"/>
          <w:sz w:val="21"/>
          <w:szCs w:val="21"/>
        </w:rPr>
        <w:t>第十二条</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 xml:space="preserve"> </w:t>
      </w:r>
      <w:r>
        <w:rPr>
          <w:rFonts w:hint="eastAsia" w:ascii="方正书宋简体" w:hAnsi="方正书宋简体" w:eastAsia="方正书宋简体" w:cs="方正书宋简体"/>
          <w:b w:val="0"/>
          <w:color w:val="auto"/>
          <w:sz w:val="21"/>
          <w:szCs w:val="21"/>
          <w:lang w:val="en-US" w:eastAsia="zh-CN"/>
        </w:rPr>
        <w:t>学生</w:t>
      </w:r>
      <w:r>
        <w:rPr>
          <w:rFonts w:hint="eastAsia" w:ascii="方正书宋简体" w:hAnsi="方正书宋简体" w:eastAsia="方正书宋简体" w:cs="方正书宋简体"/>
          <w:b w:val="0"/>
          <w:color w:val="auto"/>
          <w:sz w:val="21"/>
          <w:szCs w:val="21"/>
        </w:rPr>
        <w:t>班级在辅导员指导下对学生个人申请进行</w:t>
      </w:r>
      <w:r>
        <w:rPr>
          <w:rFonts w:hint="eastAsia" w:ascii="方正书宋简体" w:hAnsi="方正书宋简体" w:eastAsia="方正书宋简体" w:cs="方正书宋简体"/>
          <w:b w:val="0"/>
          <w:color w:val="auto"/>
          <w:sz w:val="21"/>
          <w:szCs w:val="21"/>
          <w:lang w:val="en-US" w:eastAsia="zh-CN"/>
        </w:rPr>
        <w:t>审核</w:t>
      </w:r>
      <w:r>
        <w:rPr>
          <w:rFonts w:hint="eastAsia" w:ascii="方正书宋简体" w:hAnsi="方正书宋简体" w:eastAsia="方正书宋简体" w:cs="方正书宋简体"/>
          <w:b w:val="0"/>
          <w:color w:val="auto"/>
          <w:sz w:val="21"/>
          <w:szCs w:val="21"/>
        </w:rPr>
        <w:t>和民主评议</w:t>
      </w:r>
      <w:r>
        <w:rPr>
          <w:rFonts w:hint="eastAsia" w:ascii="方正书宋简体" w:hAnsi="方正书宋简体" w:eastAsia="方正书宋简体" w:cs="方正书宋简体"/>
          <w:b w:val="0"/>
          <w:color w:val="auto"/>
          <w:sz w:val="21"/>
          <w:szCs w:val="21"/>
          <w:lang w:eastAsia="zh-CN"/>
        </w:rPr>
        <w:t>，</w:t>
      </w:r>
      <w:r>
        <w:rPr>
          <w:rFonts w:hint="eastAsia" w:ascii="方正书宋简体" w:hAnsi="方正书宋简体" w:eastAsia="方正书宋简体" w:cs="方正书宋简体"/>
          <w:b w:val="0"/>
          <w:color w:val="auto"/>
          <w:sz w:val="21"/>
          <w:szCs w:val="21"/>
        </w:rPr>
        <w:t>辅导员负责并向本系推荐建议人选。</w:t>
      </w:r>
    </w:p>
    <w:p w14:paraId="377505B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第十三条</w:t>
      </w:r>
      <w:r>
        <w:rPr>
          <w:rFonts w:hint="eastAsia" w:ascii="方正书宋简体" w:hAnsi="方正书宋简体" w:eastAsia="方正书宋简体" w:cs="方正书宋简体"/>
          <w:b/>
          <w:color w:val="auto"/>
          <w:sz w:val="21"/>
          <w:szCs w:val="21"/>
          <w:lang w:val="en-US" w:eastAsia="zh-CN"/>
        </w:rPr>
        <w:t xml:space="preserve"> </w:t>
      </w:r>
      <w:r>
        <w:rPr>
          <w:rFonts w:hint="eastAsia" w:ascii="方正书宋简体" w:hAnsi="方正书宋简体" w:eastAsia="方正书宋简体" w:cs="方正书宋简体"/>
          <w:b/>
          <w:color w:val="auto"/>
          <w:sz w:val="21"/>
          <w:szCs w:val="21"/>
        </w:rPr>
        <w:t xml:space="preserve"> </w:t>
      </w:r>
      <w:r>
        <w:rPr>
          <w:rFonts w:hint="eastAsia" w:ascii="方正书宋简体" w:hAnsi="方正书宋简体" w:eastAsia="方正书宋简体" w:cs="方正书宋简体"/>
          <w:color w:val="auto"/>
          <w:sz w:val="21"/>
          <w:szCs w:val="21"/>
        </w:rPr>
        <w:t>各系根据学院分配名额、档次，召开会议集体审核，提出推荐名单，公示5个工作日后，将推荐材料报学院学生资助管理中心办公室。</w:t>
      </w:r>
    </w:p>
    <w:p w14:paraId="258FAE7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 xml:space="preserve">第十四条 </w:t>
      </w:r>
      <w:r>
        <w:rPr>
          <w:rFonts w:hint="eastAsia" w:ascii="方正书宋简体" w:hAnsi="方正书宋简体" w:eastAsia="方正书宋简体" w:cs="方正书宋简体"/>
          <w:b/>
          <w:color w:val="auto"/>
          <w:sz w:val="21"/>
          <w:szCs w:val="21"/>
          <w:lang w:val="en-US" w:eastAsia="zh-CN"/>
        </w:rPr>
        <w:t xml:space="preserve"> </w:t>
      </w:r>
      <w:r>
        <w:rPr>
          <w:rFonts w:hint="eastAsia" w:ascii="方正书宋简体" w:hAnsi="方正书宋简体" w:eastAsia="方正书宋简体" w:cs="方正书宋简体"/>
          <w:color w:val="auto"/>
          <w:sz w:val="21"/>
          <w:szCs w:val="21"/>
        </w:rPr>
        <w:t>学院学生资助管理中心结合本校家庭经济困难学生认定等级情况，综合审查后，提交学院奖学金助学金评审委员会评审，提出享受国家助学金资助初步名单及资助档次，报学院领导集体研究决定。</w:t>
      </w:r>
    </w:p>
    <w:p w14:paraId="07B89CC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 xml:space="preserve">第十五条 </w:t>
      </w:r>
      <w:r>
        <w:rPr>
          <w:rFonts w:hint="eastAsia" w:ascii="方正书宋简体" w:hAnsi="方正书宋简体" w:eastAsia="方正书宋简体" w:cs="方正书宋简体"/>
          <w:b/>
          <w:color w:val="auto"/>
          <w:sz w:val="21"/>
          <w:szCs w:val="21"/>
          <w:lang w:val="en-US" w:eastAsia="zh-CN"/>
        </w:rPr>
        <w:t xml:space="preserve"> </w:t>
      </w:r>
      <w:r>
        <w:rPr>
          <w:rFonts w:hint="eastAsia" w:ascii="方正书宋简体" w:hAnsi="方正书宋简体" w:eastAsia="方正书宋简体" w:cs="方正书宋简体"/>
          <w:color w:val="auto"/>
          <w:sz w:val="21"/>
          <w:szCs w:val="21"/>
        </w:rPr>
        <w:t>学院学生资助管理中心将学院审批推荐名单在全校范围内公示5个工作日无异议后，于10月31前报送上级主管部门审批。</w:t>
      </w:r>
    </w:p>
    <w:p w14:paraId="4B76BA7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1CD0B32D">
      <w:pPr>
        <w:pStyle w:val="3"/>
        <w:rPr>
          <w:rFonts w:hint="eastAsia"/>
        </w:rPr>
      </w:pPr>
      <w:bookmarkStart w:id="120" w:name="_Toc29451"/>
      <w:bookmarkStart w:id="121" w:name="_Toc29182"/>
      <w:r>
        <w:rPr>
          <w:rFonts w:hint="eastAsia"/>
        </w:rPr>
        <w:t>第四章</w:t>
      </w:r>
      <w:r>
        <w:rPr>
          <w:rFonts w:hint="eastAsia"/>
          <w:lang w:val="en-US" w:eastAsia="zh-CN"/>
        </w:rPr>
        <w:t xml:space="preserve">  </w:t>
      </w:r>
      <w:r>
        <w:rPr>
          <w:rFonts w:hint="eastAsia"/>
        </w:rPr>
        <w:t>助学金发放、管理与监督</w:t>
      </w:r>
      <w:bookmarkEnd w:id="120"/>
      <w:bookmarkEnd w:id="121"/>
    </w:p>
    <w:p w14:paraId="7789C5E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color w:val="auto"/>
          <w:sz w:val="21"/>
          <w:szCs w:val="21"/>
        </w:rPr>
      </w:pPr>
    </w:p>
    <w:p w14:paraId="471E584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第十六条</w:t>
      </w:r>
      <w:r>
        <w:rPr>
          <w:rFonts w:hint="eastAsia" w:ascii="方正书宋简体" w:hAnsi="方正书宋简体" w:eastAsia="方正书宋简体" w:cs="方正书宋简体"/>
          <w:color w:val="auto"/>
          <w:sz w:val="21"/>
          <w:szCs w:val="21"/>
        </w:rPr>
        <w:t xml:space="preserve"> </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国家助学金按</w:t>
      </w:r>
      <w:r>
        <w:rPr>
          <w:rFonts w:hint="eastAsia" w:ascii="方正书宋简体" w:hAnsi="方正书宋简体" w:eastAsia="方正书宋简体" w:cs="方正书宋简体"/>
          <w:color w:val="auto"/>
          <w:sz w:val="21"/>
          <w:szCs w:val="21"/>
          <w:lang w:val="en-US" w:eastAsia="zh-CN"/>
        </w:rPr>
        <w:t>学期</w:t>
      </w:r>
      <w:r>
        <w:rPr>
          <w:rFonts w:hint="eastAsia" w:ascii="方正书宋简体" w:hAnsi="方正书宋简体" w:eastAsia="方正书宋简体" w:cs="方正书宋简体"/>
          <w:color w:val="auto"/>
          <w:sz w:val="21"/>
          <w:szCs w:val="21"/>
        </w:rPr>
        <w:t>发放，有关材料记入学生个人档案和学院文书档案。</w:t>
      </w:r>
    </w:p>
    <w:p w14:paraId="53CE590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 xml:space="preserve">第十七条 </w:t>
      </w:r>
      <w:r>
        <w:rPr>
          <w:rFonts w:hint="eastAsia" w:ascii="方正书宋简体" w:hAnsi="方正书宋简体" w:eastAsia="方正书宋简体" w:cs="方正书宋简体"/>
          <w:b/>
          <w:color w:val="auto"/>
          <w:sz w:val="21"/>
          <w:szCs w:val="21"/>
          <w:lang w:val="en-US" w:eastAsia="zh-CN"/>
        </w:rPr>
        <w:t xml:space="preserve"> </w:t>
      </w:r>
      <w:r>
        <w:rPr>
          <w:rFonts w:hint="eastAsia" w:ascii="方正书宋简体" w:hAnsi="方正书宋简体" w:eastAsia="方正书宋简体" w:cs="方正书宋简体"/>
          <w:color w:val="auto"/>
          <w:sz w:val="21"/>
          <w:szCs w:val="21"/>
        </w:rPr>
        <w:t>国家助学金的评审工作坚持公开、公平、公正的原则。如学生个人或班级对国家助学金评审结果有异议，可向所在系、学院学生资助管理中心提出申诉。有关部门应当在五个工作日给予答复。凡弄虚作假申报国家助学金者，一经发现，严肃查处。</w:t>
      </w:r>
    </w:p>
    <w:p w14:paraId="5CD66B6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第十八条</w:t>
      </w:r>
      <w:r>
        <w:rPr>
          <w:rFonts w:hint="eastAsia" w:ascii="方正书宋简体" w:hAnsi="方正书宋简体" w:eastAsia="方正书宋简体" w:cs="方正书宋简体"/>
          <w:b/>
          <w:color w:val="auto"/>
          <w:sz w:val="21"/>
          <w:szCs w:val="21"/>
          <w:lang w:val="en-US" w:eastAsia="zh-CN"/>
        </w:rPr>
        <w:t xml:space="preserve"> </w:t>
      </w:r>
      <w:r>
        <w:rPr>
          <w:rFonts w:hint="eastAsia" w:ascii="方正书宋简体" w:hAnsi="方正书宋简体" w:eastAsia="方正书宋简体" w:cs="方正书宋简体"/>
          <w:b/>
          <w:color w:val="auto"/>
          <w:sz w:val="21"/>
          <w:szCs w:val="21"/>
        </w:rPr>
        <w:t xml:space="preserve"> </w:t>
      </w:r>
      <w:r>
        <w:rPr>
          <w:rFonts w:hint="eastAsia" w:ascii="方正书宋简体" w:hAnsi="方正书宋简体" w:eastAsia="方正书宋简体" w:cs="方正书宋简体"/>
          <w:color w:val="auto"/>
          <w:sz w:val="21"/>
          <w:szCs w:val="21"/>
        </w:rPr>
        <w:t>国家助学金专款专用，学院任何单位和个人不得以任何理由截留、挪用和挤占。</w:t>
      </w:r>
    </w:p>
    <w:p w14:paraId="628FE93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第十九条</w:t>
      </w:r>
      <w:r>
        <w:rPr>
          <w:rFonts w:hint="eastAsia" w:ascii="方正书宋简体" w:hAnsi="方正书宋简体" w:eastAsia="方正书宋简体" w:cs="方正书宋简体"/>
          <w:b/>
          <w:color w:val="auto"/>
          <w:sz w:val="21"/>
          <w:szCs w:val="21"/>
          <w:lang w:val="en-US" w:eastAsia="zh-CN"/>
        </w:rPr>
        <w:t xml:space="preserve"> </w:t>
      </w:r>
      <w:r>
        <w:rPr>
          <w:rFonts w:hint="eastAsia" w:ascii="方正书宋简体" w:hAnsi="方正书宋简体" w:eastAsia="方正书宋简体" w:cs="方正书宋简体"/>
          <w:color w:val="auto"/>
          <w:sz w:val="21"/>
          <w:szCs w:val="21"/>
        </w:rPr>
        <w:t xml:space="preserve"> 各系要做好受助学生的教育工作，监督、指导学生合理使用国家助学金。</w:t>
      </w:r>
      <w:r>
        <w:rPr>
          <w:rFonts w:hint="eastAsia" w:ascii="方正书宋简体" w:hAnsi="方正书宋简体" w:eastAsia="方正书宋简体" w:cs="方正书宋简体"/>
          <w:color w:val="auto"/>
          <w:sz w:val="21"/>
          <w:szCs w:val="21"/>
          <w:lang w:val="en-US" w:eastAsia="zh-CN"/>
        </w:rPr>
        <w:t>严禁使用</w:t>
      </w:r>
      <w:r>
        <w:rPr>
          <w:rFonts w:hint="eastAsia" w:ascii="方正书宋简体" w:hAnsi="方正书宋简体" w:eastAsia="方正书宋简体" w:cs="方正书宋简体"/>
          <w:color w:val="auto"/>
          <w:sz w:val="21"/>
          <w:szCs w:val="21"/>
        </w:rPr>
        <w:t>国家助学金请客、高消费</w:t>
      </w:r>
      <w:r>
        <w:rPr>
          <w:rFonts w:hint="eastAsia" w:ascii="方正书宋简体" w:hAnsi="方正书宋简体" w:eastAsia="方正书宋简体" w:cs="方正书宋简体"/>
          <w:color w:val="auto"/>
          <w:sz w:val="21"/>
          <w:szCs w:val="21"/>
          <w:lang w:val="en-US" w:eastAsia="zh-CN"/>
        </w:rPr>
        <w:t>或用于</w:t>
      </w:r>
      <w:r>
        <w:rPr>
          <w:rFonts w:hint="eastAsia" w:ascii="方正书宋简体" w:hAnsi="方正书宋简体" w:eastAsia="方正书宋简体" w:cs="方正书宋简体"/>
          <w:color w:val="auto"/>
          <w:sz w:val="21"/>
          <w:szCs w:val="21"/>
        </w:rPr>
        <w:t>经营</w:t>
      </w:r>
      <w:r>
        <w:rPr>
          <w:rFonts w:hint="eastAsia" w:ascii="方正书宋简体" w:hAnsi="方正书宋简体" w:eastAsia="方正书宋简体" w:cs="方正书宋简体"/>
          <w:color w:val="auto"/>
          <w:sz w:val="21"/>
          <w:szCs w:val="21"/>
          <w:lang w:val="en-US" w:eastAsia="zh-CN"/>
        </w:rPr>
        <w:t>行为</w:t>
      </w:r>
      <w:r>
        <w:rPr>
          <w:rFonts w:hint="eastAsia" w:ascii="方正书宋简体" w:hAnsi="方正书宋简体" w:eastAsia="方正书宋简体" w:cs="方正书宋简体"/>
          <w:color w:val="auto"/>
          <w:sz w:val="21"/>
          <w:szCs w:val="21"/>
        </w:rPr>
        <w:t>。一经发现</w:t>
      </w:r>
      <w:r>
        <w:rPr>
          <w:rFonts w:hint="eastAsia" w:ascii="方正书宋简体" w:hAnsi="方正书宋简体" w:eastAsia="方正书宋简体" w:cs="方正书宋简体"/>
          <w:color w:val="auto"/>
          <w:sz w:val="21"/>
          <w:szCs w:val="21"/>
          <w:lang w:val="en-US" w:eastAsia="zh-CN"/>
        </w:rPr>
        <w:t>予以</w:t>
      </w:r>
      <w:r>
        <w:rPr>
          <w:rFonts w:hint="eastAsia" w:ascii="方正书宋简体" w:hAnsi="方正书宋简体" w:eastAsia="方正书宋简体" w:cs="方正书宋简体"/>
          <w:color w:val="auto"/>
          <w:sz w:val="21"/>
          <w:szCs w:val="21"/>
        </w:rPr>
        <w:t>追回，并视情节给予纪律处分。</w:t>
      </w:r>
    </w:p>
    <w:p w14:paraId="0F0BEBF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1BA87324">
      <w:pPr>
        <w:pStyle w:val="3"/>
        <w:rPr>
          <w:rFonts w:hint="eastAsia"/>
        </w:rPr>
      </w:pPr>
      <w:bookmarkStart w:id="122" w:name="_Toc17158"/>
      <w:bookmarkStart w:id="123" w:name="_Toc20907"/>
      <w:r>
        <w:rPr>
          <w:rFonts w:hint="eastAsia"/>
        </w:rPr>
        <w:t xml:space="preserve">第五章 </w:t>
      </w:r>
      <w:r>
        <w:rPr>
          <w:rFonts w:hint="eastAsia"/>
          <w:lang w:val="en-US" w:eastAsia="zh-CN"/>
        </w:rPr>
        <w:t xml:space="preserve"> </w:t>
      </w:r>
      <w:r>
        <w:rPr>
          <w:rFonts w:hint="eastAsia"/>
        </w:rPr>
        <w:t>附则</w:t>
      </w:r>
      <w:bookmarkEnd w:id="122"/>
      <w:bookmarkEnd w:id="123"/>
    </w:p>
    <w:p w14:paraId="1F18D4B2">
      <w:pPr>
        <w:rPr>
          <w:rFonts w:hint="eastAsia"/>
        </w:rPr>
      </w:pPr>
    </w:p>
    <w:p w14:paraId="4E45D2DC">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第二十条</w:t>
      </w:r>
      <w:r>
        <w:rPr>
          <w:rFonts w:hint="eastAsia" w:ascii="方正书宋简体" w:hAnsi="方正书宋简体" w:eastAsia="方正书宋简体" w:cs="方正书宋简体"/>
          <w:color w:val="auto"/>
          <w:sz w:val="21"/>
          <w:szCs w:val="21"/>
        </w:rPr>
        <w:t xml:space="preserve"> </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本办法自20</w:t>
      </w:r>
      <w:r>
        <w:rPr>
          <w:rFonts w:hint="eastAsia" w:ascii="方正书宋简体" w:hAnsi="方正书宋简体" w:eastAsia="方正书宋简体" w:cs="方正书宋简体"/>
          <w:color w:val="auto"/>
          <w:sz w:val="21"/>
          <w:szCs w:val="21"/>
          <w:lang w:val="en-US" w:eastAsia="zh-CN"/>
        </w:rPr>
        <w:t>24</w:t>
      </w:r>
      <w:r>
        <w:rPr>
          <w:rFonts w:hint="eastAsia" w:ascii="方正书宋简体" w:hAnsi="方正书宋简体" w:eastAsia="方正书宋简体" w:cs="方正书宋简体"/>
          <w:color w:val="auto"/>
          <w:sz w:val="21"/>
          <w:szCs w:val="21"/>
        </w:rPr>
        <w:t>年</w:t>
      </w:r>
      <w:r>
        <w:rPr>
          <w:rFonts w:hint="eastAsia" w:ascii="方正书宋简体" w:hAnsi="方正书宋简体" w:eastAsia="方正书宋简体" w:cs="方正书宋简体"/>
          <w:color w:val="auto"/>
          <w:sz w:val="21"/>
          <w:szCs w:val="21"/>
          <w:lang w:val="en-US" w:eastAsia="zh-CN"/>
        </w:rPr>
        <w:t>1</w:t>
      </w:r>
      <w:r>
        <w:rPr>
          <w:rFonts w:hint="eastAsia" w:ascii="方正书宋简体" w:hAnsi="方正书宋简体" w:eastAsia="方正书宋简体" w:cs="方正书宋简体"/>
          <w:color w:val="auto"/>
          <w:sz w:val="21"/>
          <w:szCs w:val="21"/>
        </w:rPr>
        <w:t>月起</w:t>
      </w:r>
      <w:r>
        <w:rPr>
          <w:rFonts w:hint="eastAsia" w:ascii="方正书宋简体" w:hAnsi="方正书宋简体" w:eastAsia="方正书宋简体" w:cs="方正书宋简体"/>
          <w:color w:val="auto"/>
          <w:sz w:val="21"/>
          <w:szCs w:val="21"/>
          <w:lang w:val="en-US" w:eastAsia="zh-CN"/>
        </w:rPr>
        <w:t>施</w:t>
      </w:r>
      <w:r>
        <w:rPr>
          <w:rFonts w:hint="eastAsia" w:ascii="方正书宋简体" w:hAnsi="方正书宋简体" w:eastAsia="方正书宋简体" w:cs="方正书宋简体"/>
          <w:color w:val="auto"/>
          <w:sz w:val="21"/>
          <w:szCs w:val="21"/>
        </w:rPr>
        <w:t>行。</w:t>
      </w:r>
    </w:p>
    <w:p w14:paraId="17835CF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color w:val="auto"/>
          <w:sz w:val="21"/>
          <w:szCs w:val="21"/>
        </w:rPr>
        <w:t>第二十一条</w:t>
      </w:r>
      <w:r>
        <w:rPr>
          <w:rFonts w:hint="eastAsia" w:ascii="方正书宋简体" w:hAnsi="方正书宋简体" w:eastAsia="方正书宋简体" w:cs="方正书宋简体"/>
          <w:b/>
          <w:color w:val="auto"/>
          <w:sz w:val="21"/>
          <w:szCs w:val="21"/>
          <w:lang w:val="en-US" w:eastAsia="zh-CN"/>
        </w:rPr>
        <w:t xml:space="preserve"> </w:t>
      </w:r>
      <w:r>
        <w:rPr>
          <w:rFonts w:hint="eastAsia" w:ascii="方正书宋简体" w:hAnsi="方正书宋简体" w:eastAsia="方正书宋简体" w:cs="方正书宋简体"/>
          <w:color w:val="auto"/>
          <w:sz w:val="21"/>
          <w:szCs w:val="21"/>
        </w:rPr>
        <w:t xml:space="preserve"> 本办法由学院学生资助管理中心负责解释。</w:t>
      </w:r>
    </w:p>
    <w:p w14:paraId="7C4F17F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61AD3B90">
      <w:pPr>
        <w:keepNext w:val="0"/>
        <w:keepLines w:val="0"/>
        <w:pageBreakBefore w:val="0"/>
        <w:widowControl w:val="0"/>
        <w:kinsoku/>
        <w:wordWrap/>
        <w:overflowPunct/>
        <w:topLinePunct w:val="0"/>
        <w:autoSpaceDE/>
        <w:autoSpaceDN/>
        <w:bidi w:val="0"/>
        <w:adjustRightInd/>
        <w:snapToGrid/>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580E328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b w:val="0"/>
          <w:bCs/>
          <w:sz w:val="21"/>
          <w:szCs w:val="21"/>
          <w:lang w:val="en-US" w:eastAsia="zh-CN"/>
        </w:rPr>
      </w:pPr>
      <w:r>
        <w:rPr>
          <w:rFonts w:hint="eastAsia" w:ascii="方正书宋简体" w:hAnsi="方正书宋简体" w:eastAsia="方正书宋简体" w:cs="方正书宋简体"/>
          <w:b w:val="0"/>
          <w:bCs/>
          <w:sz w:val="21"/>
          <w:szCs w:val="21"/>
          <w:lang w:val="en-US" w:eastAsia="zh-CN"/>
        </w:rPr>
        <w:br w:type="page"/>
      </w:r>
    </w:p>
    <w:p w14:paraId="392FD442">
      <w:pPr>
        <w:pStyle w:val="2"/>
        <w:rPr>
          <w:rFonts w:hint="eastAsia"/>
        </w:rPr>
      </w:pPr>
      <w:bookmarkStart w:id="124" w:name="_Toc7139"/>
      <w:bookmarkStart w:id="125" w:name="_Toc6591"/>
      <w:bookmarkStart w:id="126" w:name="_Toc370"/>
      <w:bookmarkStart w:id="127" w:name="_Toc28225"/>
      <w:bookmarkStart w:id="128" w:name="_Toc27985"/>
      <w:bookmarkStart w:id="129" w:name="_Toc30746"/>
      <w:bookmarkStart w:id="130" w:name="_Toc22793"/>
      <w:bookmarkStart w:id="131" w:name="_Toc27410"/>
      <w:r>
        <w:rPr>
          <w:rFonts w:hint="eastAsia"/>
        </w:rPr>
        <w:t>安徽电气工程职业技术学院</w:t>
      </w:r>
      <w:bookmarkEnd w:id="124"/>
      <w:bookmarkEnd w:id="125"/>
      <w:bookmarkEnd w:id="126"/>
      <w:bookmarkEnd w:id="127"/>
      <w:bookmarkEnd w:id="128"/>
      <w:bookmarkEnd w:id="129"/>
      <w:bookmarkEnd w:id="130"/>
      <w:bookmarkEnd w:id="131"/>
    </w:p>
    <w:p w14:paraId="2DC08FA3">
      <w:pPr>
        <w:pStyle w:val="2"/>
        <w:rPr>
          <w:rFonts w:hint="eastAsia" w:ascii="方正书宋简体" w:hAnsi="方正书宋简体" w:eastAsia="方正书宋简体" w:cs="方正书宋简体"/>
          <w:b/>
          <w:szCs w:val="21"/>
        </w:rPr>
      </w:pPr>
      <w:bookmarkStart w:id="132" w:name="_Toc14040"/>
      <w:bookmarkStart w:id="133" w:name="_Toc13041"/>
      <w:bookmarkStart w:id="134" w:name="_Toc23342"/>
      <w:bookmarkStart w:id="135" w:name="_Toc26108"/>
      <w:bookmarkStart w:id="136" w:name="_Toc27768"/>
      <w:bookmarkStart w:id="137" w:name="_Toc24962"/>
      <w:bookmarkStart w:id="138" w:name="_Toc17668"/>
      <w:bookmarkStart w:id="139" w:name="_Toc2740"/>
      <w:r>
        <w:rPr>
          <w:rFonts w:hint="eastAsia"/>
        </w:rPr>
        <w:t>校内资助项目实施办法</w:t>
      </w:r>
      <w:bookmarkEnd w:id="132"/>
      <w:bookmarkEnd w:id="133"/>
      <w:bookmarkEnd w:id="134"/>
      <w:bookmarkEnd w:id="135"/>
      <w:bookmarkEnd w:id="136"/>
      <w:bookmarkEnd w:id="137"/>
      <w:bookmarkEnd w:id="138"/>
      <w:bookmarkEnd w:id="139"/>
    </w:p>
    <w:p w14:paraId="49D0AF0A">
      <w:pPr>
        <w:pageBreakBefore w:val="0"/>
        <w:overflowPunct/>
        <w:topLinePunct w:val="0"/>
        <w:bidi w:val="0"/>
        <w:spacing w:line="400" w:lineRule="exact"/>
        <w:ind w:left="0" w:leftChars="0" w:right="0" w:firstLine="420" w:firstLineChars="200"/>
        <w:jc w:val="center"/>
        <w:rPr>
          <w:rFonts w:hint="eastAsia" w:ascii="方正书宋简体" w:hAnsi="方正书宋简体" w:eastAsia="方正书宋简体" w:cs="方正书宋简体"/>
          <w:sz w:val="21"/>
          <w:szCs w:val="21"/>
        </w:rPr>
      </w:pPr>
    </w:p>
    <w:p w14:paraId="067BE485">
      <w:pPr>
        <w:pStyle w:val="3"/>
        <w:rPr>
          <w:rFonts w:hint="eastAsia"/>
        </w:rPr>
      </w:pPr>
      <w:bookmarkStart w:id="140" w:name="_Toc11060"/>
      <w:bookmarkStart w:id="141" w:name="_Toc5308"/>
      <w:r>
        <w:rPr>
          <w:rFonts w:hint="eastAsia"/>
        </w:rPr>
        <w:t xml:space="preserve">第一章 </w:t>
      </w:r>
      <w:r>
        <w:rPr>
          <w:rFonts w:hint="eastAsia"/>
          <w:lang w:val="en-US" w:eastAsia="zh-CN"/>
        </w:rPr>
        <w:t xml:space="preserve"> </w:t>
      </w:r>
      <w:r>
        <w:rPr>
          <w:rFonts w:hint="eastAsia"/>
        </w:rPr>
        <w:t>总则</w:t>
      </w:r>
      <w:bookmarkEnd w:id="140"/>
      <w:bookmarkEnd w:id="141"/>
    </w:p>
    <w:p w14:paraId="2456608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sz w:val="21"/>
          <w:szCs w:val="21"/>
        </w:rPr>
      </w:pPr>
    </w:p>
    <w:p w14:paraId="738EE2F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第一条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为切实做好家庭经济困难学生资助工作，使其安心学习，顺利完成学业，根据《安徽省人民政府关于建立健全普通本科高校高等职业学校和中等职业学校家庭经济困难学生资助政策体系的实施意见》（皖政〔2007〕74号）、《安徽省教育厅关于进一步加强高校家庭经济困难学生校内资助工作的通知》（皖教秘〔2012〕145号）及《安徽省教育厅关于重申高校校内资助管理规定的通知》（皖教秘〔2017〕101号）等文件精神，结合安徽电气工程职业技术学院（以下简称“学院”）实际，制定本办法。</w:t>
      </w:r>
    </w:p>
    <w:p w14:paraId="017F723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第二条</w:t>
      </w:r>
      <w:r>
        <w:rPr>
          <w:rFonts w:hint="eastAsia" w:ascii="方正书宋简体" w:hAnsi="方正书宋简体" w:eastAsia="方正书宋简体" w:cs="方正书宋简体"/>
          <w:sz w:val="21"/>
          <w:szCs w:val="21"/>
        </w:rPr>
        <w:t xml:space="preserve">  学生资助管理中心（以下简称“资助中心”）负责学院校内学生资助项目布置、评审、发放的组织落实，学院各部门应予以配合实施，学院纪检监察部门负责资助工作监督。</w:t>
      </w:r>
    </w:p>
    <w:p w14:paraId="3D1A110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第三条</w:t>
      </w:r>
      <w:r>
        <w:rPr>
          <w:rFonts w:hint="eastAsia" w:ascii="方正书宋简体" w:hAnsi="方正书宋简体" w:eastAsia="方正书宋简体" w:cs="方正书宋简体"/>
          <w:sz w:val="21"/>
          <w:szCs w:val="21"/>
        </w:rPr>
        <w:t xml:space="preserve">  对学院内的各项学生资助，按照公开、公平、公正原则，公布资助项目，按个人申请、系部初审、资助中心复审，全院公示后报院领导批准实施，资助资金一律由学院财务转入学生个人银行卡中。</w:t>
      </w:r>
    </w:p>
    <w:p w14:paraId="108CBA5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第四条</w:t>
      </w:r>
      <w:r>
        <w:rPr>
          <w:rFonts w:hint="eastAsia" w:ascii="方正书宋简体" w:hAnsi="方正书宋简体" w:eastAsia="方正书宋简体" w:cs="方正书宋简体"/>
          <w:sz w:val="21"/>
          <w:szCs w:val="21"/>
        </w:rPr>
        <w:t xml:space="preserve">  本办法适用的资助项目包括绿色通道、学费减免、勤工助学、特殊困难资助和临时困难资助等校内其他资助。</w:t>
      </w:r>
    </w:p>
    <w:p w14:paraId="74FDBAD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p>
    <w:p w14:paraId="39DF089D">
      <w:pPr>
        <w:pStyle w:val="3"/>
        <w:rPr>
          <w:rFonts w:hint="eastAsia"/>
        </w:rPr>
      </w:pPr>
      <w:bookmarkStart w:id="142" w:name="_Toc10523"/>
      <w:bookmarkStart w:id="143" w:name="_Toc26943"/>
      <w:r>
        <w:rPr>
          <w:rFonts w:hint="eastAsia"/>
        </w:rPr>
        <w:t>第二章</w:t>
      </w:r>
      <w:r>
        <w:rPr>
          <w:rFonts w:hint="eastAsia"/>
          <w:lang w:val="en-US" w:eastAsia="zh-CN"/>
        </w:rPr>
        <w:t xml:space="preserve"> </w:t>
      </w:r>
      <w:r>
        <w:rPr>
          <w:rFonts w:hint="eastAsia"/>
        </w:rPr>
        <w:t xml:space="preserve"> 资助经费来源</w:t>
      </w:r>
      <w:bookmarkEnd w:id="142"/>
      <w:bookmarkEnd w:id="143"/>
    </w:p>
    <w:p w14:paraId="3581CD1E">
      <w:pPr>
        <w:rPr>
          <w:rFonts w:hint="eastAsia"/>
        </w:rPr>
      </w:pPr>
    </w:p>
    <w:p w14:paraId="3BA20DB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第五条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学院每年从事业收入中足额提取4%-6%经费作为资助资金，资助资金的提取和使用纳入学院预、决算管理，实行分账核算、专款专用。</w:t>
      </w:r>
    </w:p>
    <w:p w14:paraId="28FA3FB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第六条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本办法规定的事业收入包括学费、住宿费等非科研事业收入。企业、社会团体及个人设立的奖助项目资金不计入提取基数。</w:t>
      </w:r>
    </w:p>
    <w:p w14:paraId="686DF88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第七条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学院校内资助资金的支出按照资助中心经办、财务部门审核、院领导审批的程序办理。</w:t>
      </w:r>
    </w:p>
    <w:p w14:paraId="277B9B1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p>
    <w:p w14:paraId="309AF7A8">
      <w:pPr>
        <w:pStyle w:val="3"/>
        <w:rPr>
          <w:rFonts w:hint="eastAsia"/>
        </w:rPr>
      </w:pPr>
      <w:bookmarkStart w:id="144" w:name="_Toc24182"/>
      <w:bookmarkStart w:id="145" w:name="_Toc17980"/>
      <w:r>
        <w:rPr>
          <w:rFonts w:hint="eastAsia"/>
        </w:rPr>
        <w:t>第三章  绿色通道</w:t>
      </w:r>
      <w:bookmarkEnd w:id="144"/>
      <w:bookmarkEnd w:id="145"/>
    </w:p>
    <w:p w14:paraId="208B516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sz w:val="21"/>
          <w:szCs w:val="21"/>
        </w:rPr>
      </w:pPr>
    </w:p>
    <w:p w14:paraId="49316E9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第八条</w:t>
      </w:r>
      <w:r>
        <w:rPr>
          <w:rFonts w:hint="eastAsia" w:ascii="方正书宋简体" w:hAnsi="方正书宋简体" w:eastAsia="方正书宋简体" w:cs="方正书宋简体"/>
          <w:sz w:val="21"/>
          <w:szCs w:val="21"/>
        </w:rPr>
        <w:t xml:space="preserve">  申请对象</w:t>
      </w:r>
    </w:p>
    <w:p w14:paraId="2A83313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家庭经济特别困难的新生如暂时筹集不齐学费和住宿费，可在开学报到的当天，通过学院开设的“绿色通道”窗口报到。学院一律先办理入学手续，入校后再向学院申报家庭经济困难，由学院核实认定后采取不同措施给予资助。</w:t>
      </w:r>
    </w:p>
    <w:p w14:paraId="5CD1DE1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p>
    <w:p w14:paraId="6621F24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sz w:val="21"/>
          <w:szCs w:val="21"/>
        </w:rPr>
      </w:pPr>
    </w:p>
    <w:p w14:paraId="52BB098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sz w:val="21"/>
          <w:szCs w:val="21"/>
        </w:rPr>
      </w:pPr>
    </w:p>
    <w:p w14:paraId="04574AFE">
      <w:pPr>
        <w:pStyle w:val="3"/>
        <w:rPr>
          <w:rFonts w:hint="eastAsia"/>
        </w:rPr>
      </w:pPr>
      <w:bookmarkStart w:id="146" w:name="_Toc12260"/>
      <w:bookmarkStart w:id="147" w:name="_Toc4322"/>
      <w:r>
        <w:rPr>
          <w:rFonts w:hint="eastAsia"/>
        </w:rPr>
        <w:t>第四章  学费减免</w:t>
      </w:r>
      <w:bookmarkEnd w:id="146"/>
      <w:bookmarkEnd w:id="147"/>
    </w:p>
    <w:p w14:paraId="68A5912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sz w:val="21"/>
          <w:szCs w:val="21"/>
        </w:rPr>
      </w:pPr>
    </w:p>
    <w:p w14:paraId="10FBB00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第九条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学费减免对象</w:t>
      </w:r>
    </w:p>
    <w:p w14:paraId="67DE636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减免学费对象为具有学院学籍的全日制在校学生（以下简称“学生”）。</w:t>
      </w:r>
    </w:p>
    <w:p w14:paraId="5BE3D42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第十条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申请条件与减免额度</w:t>
      </w:r>
    </w:p>
    <w:p w14:paraId="41FD7C2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申请学费减免的学生必须为安徽省学生资助管理系统“家庭经济困难学生信息库”中成员；</w:t>
      </w:r>
    </w:p>
    <w:p w14:paraId="7F0C43FC">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孤儿（需提供孤儿证），学费全额免收；</w:t>
      </w:r>
    </w:p>
    <w:p w14:paraId="2816745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3</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属于烈士子女，减免学费500-1500元；</w:t>
      </w:r>
    </w:p>
    <w:p w14:paraId="0746402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父母双方因残疾丧失劳动能力的学生（需提供残联统一制发的《中华人民共和国残疾人证》），减免学费500-1500元；</w:t>
      </w:r>
    </w:p>
    <w:p w14:paraId="73A6BE2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5</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家庭突发重大变故无力承担学费的学生减免学费500-1500元。</w:t>
      </w:r>
    </w:p>
    <w:p w14:paraId="1982586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lang w:val="en-US" w:eastAsia="zh-CN"/>
        </w:rPr>
      </w:pPr>
      <w:r>
        <w:rPr>
          <w:rFonts w:hint="eastAsia" w:ascii="方正书宋简体" w:hAnsi="方正书宋简体" w:eastAsia="方正书宋简体" w:cs="方正书宋简体"/>
          <w:sz w:val="21"/>
          <w:szCs w:val="21"/>
          <w:lang w:val="en-US" w:eastAsia="zh-CN"/>
        </w:rPr>
        <w:t>6、退役后</w:t>
      </w:r>
      <w:r>
        <w:rPr>
          <w:rFonts w:hint="eastAsia" w:ascii="方正书宋简体" w:hAnsi="方正书宋简体" w:eastAsia="方正书宋简体" w:cs="方正书宋简体"/>
          <w:sz w:val="21"/>
          <w:szCs w:val="21"/>
        </w:rPr>
        <w:t>复学或</w:t>
      </w:r>
      <w:r>
        <w:rPr>
          <w:rFonts w:hint="eastAsia" w:ascii="方正书宋简体" w:hAnsi="方正书宋简体" w:eastAsia="方正书宋简体" w:cs="方正书宋简体"/>
          <w:sz w:val="21"/>
          <w:szCs w:val="21"/>
          <w:lang w:val="en-US" w:eastAsia="zh-CN"/>
        </w:rPr>
        <w:t>退役后</w:t>
      </w:r>
      <w:r>
        <w:rPr>
          <w:rFonts w:hint="eastAsia" w:ascii="方正书宋简体" w:hAnsi="方正书宋简体" w:eastAsia="方正书宋简体" w:cs="方正书宋简体"/>
          <w:sz w:val="21"/>
          <w:szCs w:val="21"/>
        </w:rPr>
        <w:t>新入学</w:t>
      </w:r>
      <w:r>
        <w:rPr>
          <w:rFonts w:hint="eastAsia" w:ascii="方正书宋简体" w:hAnsi="方正书宋简体" w:eastAsia="方正书宋简体" w:cs="方正书宋简体"/>
          <w:sz w:val="21"/>
          <w:szCs w:val="21"/>
          <w:lang w:val="en-US" w:eastAsia="zh-CN"/>
        </w:rPr>
        <w:t>可实行学费减免，</w:t>
      </w:r>
      <w:r>
        <w:rPr>
          <w:rFonts w:hint="eastAsia" w:ascii="方正书宋简体" w:hAnsi="方正书宋简体" w:eastAsia="方正书宋简体" w:cs="方正书宋简体"/>
          <w:sz w:val="21"/>
          <w:szCs w:val="21"/>
        </w:rPr>
        <w:t>学费减免金额按学校实际收取学费金额执行。</w:t>
      </w:r>
    </w:p>
    <w:p w14:paraId="63FB0FC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第十一条</w:t>
      </w:r>
      <w:r>
        <w:rPr>
          <w:rFonts w:hint="eastAsia" w:ascii="方正书宋简体" w:hAnsi="方正书宋简体" w:eastAsia="方正书宋简体" w:cs="方正书宋简体"/>
          <w:b/>
          <w:sz w:val="21"/>
          <w:szCs w:val="21"/>
          <w:lang w:val="en-US" w:eastAsia="zh-CN"/>
        </w:rPr>
        <w:t xml:space="preserve"> </w:t>
      </w:r>
      <w:r>
        <w:rPr>
          <w:rFonts w:hint="eastAsia" w:ascii="方正书宋简体" w:hAnsi="方正书宋简体" w:eastAsia="方正书宋简体" w:cs="方正书宋简体"/>
          <w:sz w:val="21"/>
          <w:szCs w:val="21"/>
        </w:rPr>
        <w:t xml:space="preserve"> 申请与评审程序</w:t>
      </w:r>
    </w:p>
    <w:p w14:paraId="102FBA0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学院每年9-12月办理学费减免手续。由学生本人申请，通过班级评议后由辅导员签字，经系部初审，资助中心复审并在学院内公示5个工作日，公示无异议后报请学院领导审批发放。</w:t>
      </w:r>
    </w:p>
    <w:p w14:paraId="60BC749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第十二条</w:t>
      </w:r>
      <w:r>
        <w:rPr>
          <w:rFonts w:hint="eastAsia" w:ascii="方正书宋简体" w:hAnsi="方正书宋简体" w:eastAsia="方正书宋简体" w:cs="方正书宋简体"/>
          <w:b/>
          <w:sz w:val="21"/>
          <w:szCs w:val="21"/>
          <w:lang w:val="en-US" w:eastAsia="zh-CN"/>
        </w:rPr>
        <w:t xml:space="preserve"> </w:t>
      </w:r>
      <w:r>
        <w:rPr>
          <w:rFonts w:hint="eastAsia" w:ascii="方正书宋简体" w:hAnsi="方正书宋简体" w:eastAsia="方正书宋简体" w:cs="方正书宋简体"/>
          <w:sz w:val="21"/>
          <w:szCs w:val="21"/>
        </w:rPr>
        <w:t xml:space="preserve"> 学费减免的管理和监督</w:t>
      </w:r>
    </w:p>
    <w:p w14:paraId="394EBA9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（一）本学年内有违反校纪、校规，受到警告及以上处分，尚未解除者，不得申请学费减免：</w:t>
      </w:r>
    </w:p>
    <w:p w14:paraId="635B400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 xml:space="preserve">（二）学院应对减免学费学生的经济情况进行了解和抽查。 </w:t>
      </w:r>
    </w:p>
    <w:p w14:paraId="7069042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（三）凡经学院批准减免学费的学生，其名单和减免金额将向全院学生公示，接受广大学生的监督。</w:t>
      </w:r>
    </w:p>
    <w:p w14:paraId="0263F14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（四）已获得本学年国家奖学金、国家励志奖学金的学生，原则上不得申请本学年学费减免。</w:t>
      </w:r>
    </w:p>
    <w:p w14:paraId="20D49C8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p>
    <w:p w14:paraId="5BA6E715">
      <w:pPr>
        <w:pStyle w:val="3"/>
        <w:rPr>
          <w:rFonts w:hint="eastAsia"/>
          <w:lang w:eastAsia="zh-CN"/>
        </w:rPr>
      </w:pPr>
      <w:bookmarkStart w:id="148" w:name="_Toc11018"/>
      <w:bookmarkStart w:id="149" w:name="_Toc25183"/>
      <w:r>
        <w:rPr>
          <w:rFonts w:hint="eastAsia"/>
        </w:rPr>
        <w:t>第五章  学生勤工助学</w:t>
      </w:r>
      <w:bookmarkEnd w:id="148"/>
      <w:bookmarkEnd w:id="149"/>
    </w:p>
    <w:p w14:paraId="63A2FA4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sz w:val="21"/>
          <w:szCs w:val="21"/>
          <w:lang w:eastAsia="zh-CN"/>
        </w:rPr>
      </w:pPr>
    </w:p>
    <w:p w14:paraId="7897E67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第十三条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学生勤工助学按照《安徽电气工程职业技术学院学生勤工助学管理办法》执行。</w:t>
      </w:r>
    </w:p>
    <w:p w14:paraId="4FD0F06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p>
    <w:p w14:paraId="25AE312C">
      <w:pPr>
        <w:pStyle w:val="3"/>
        <w:rPr>
          <w:rFonts w:hint="eastAsia"/>
        </w:rPr>
      </w:pPr>
      <w:bookmarkStart w:id="150" w:name="_Toc16586"/>
      <w:bookmarkStart w:id="151" w:name="_Toc24441"/>
      <w:r>
        <w:rPr>
          <w:rFonts w:hint="eastAsia"/>
        </w:rPr>
        <w:t>第六章  家庭经济困难学生特殊困难资助</w:t>
      </w:r>
      <w:bookmarkEnd w:id="150"/>
      <w:bookmarkEnd w:id="151"/>
    </w:p>
    <w:p w14:paraId="442EAD3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sz w:val="21"/>
          <w:szCs w:val="21"/>
        </w:rPr>
      </w:pPr>
    </w:p>
    <w:p w14:paraId="3035450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第十四条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申请条件</w:t>
      </w:r>
    </w:p>
    <w:p w14:paraId="5D01F48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（一）申请特困资助须符合以下条件：</w:t>
      </w:r>
    </w:p>
    <w:p w14:paraId="46472B5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 xml:space="preserve"> 家庭经济特别困难，家庭成员或本人因灾、因病突发重大变故，且无力承担者。   </w:t>
      </w:r>
    </w:p>
    <w:p w14:paraId="0E87FA1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（二）学生个人提出书面申请，提供家庭所在乡、镇、区、街道政府或父母所在单位的家庭经济困难证明，并按规定程序审批。</w:t>
      </w:r>
    </w:p>
    <w:p w14:paraId="10CA9F7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（三）特困资助标准为1000元/人次，特殊情况需增加标准的应报学院领导批准。</w:t>
      </w:r>
    </w:p>
    <w:p w14:paraId="6F7DDA7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第十五条</w:t>
      </w:r>
      <w:r>
        <w:rPr>
          <w:rFonts w:hint="eastAsia" w:ascii="方正书宋简体" w:hAnsi="方正书宋简体" w:eastAsia="方正书宋简体" w:cs="方正书宋简体"/>
          <w:b/>
          <w:sz w:val="21"/>
          <w:szCs w:val="21"/>
          <w:lang w:val="en-US" w:eastAsia="zh-CN"/>
        </w:rPr>
        <w:t xml:space="preserve"> </w:t>
      </w:r>
      <w:r>
        <w:rPr>
          <w:rFonts w:hint="eastAsia" w:ascii="方正书宋简体" w:hAnsi="方正书宋简体" w:eastAsia="方正书宋简体" w:cs="方正书宋简体"/>
          <w:sz w:val="21"/>
          <w:szCs w:val="21"/>
        </w:rPr>
        <w:t xml:space="preserve"> 申请与审批程序</w:t>
      </w:r>
    </w:p>
    <w:p w14:paraId="549A902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特殊困难补助可随时申请，并按下列程序进行：</w:t>
      </w:r>
    </w:p>
    <w:p w14:paraId="4310C37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（一）学生本人提出书面申请，提供困难证明材料。</w:t>
      </w:r>
    </w:p>
    <w:p w14:paraId="31C1F6EC">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（二）系辅导员核实、签署意见，报系部审核。</w:t>
      </w:r>
    </w:p>
    <w:p w14:paraId="782DE44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（三）系主任审核并签署意见，报资助中心复审。</w:t>
      </w:r>
    </w:p>
    <w:p w14:paraId="62FAF0B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（四）资助中心复审后，提交院领导批准发放。</w:t>
      </w:r>
    </w:p>
    <w:p w14:paraId="42990AE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p>
    <w:p w14:paraId="1F15F2AD">
      <w:pPr>
        <w:pStyle w:val="3"/>
        <w:rPr>
          <w:rFonts w:hint="eastAsia"/>
        </w:rPr>
      </w:pPr>
      <w:bookmarkStart w:id="152" w:name="_Toc14168"/>
      <w:bookmarkStart w:id="153" w:name="_Toc13302"/>
      <w:r>
        <w:rPr>
          <w:rFonts w:hint="eastAsia"/>
        </w:rPr>
        <w:t>第七章  家庭经济困难学生临时困难资助</w:t>
      </w:r>
      <w:bookmarkEnd w:id="152"/>
      <w:bookmarkEnd w:id="153"/>
    </w:p>
    <w:p w14:paraId="6D5FE2A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sz w:val="21"/>
          <w:szCs w:val="21"/>
        </w:rPr>
      </w:pPr>
    </w:p>
    <w:p w14:paraId="5181884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第十六条</w:t>
      </w:r>
      <w:r>
        <w:rPr>
          <w:rFonts w:hint="eastAsia" w:ascii="方正书宋简体" w:hAnsi="方正书宋简体" w:eastAsia="方正书宋简体" w:cs="方正书宋简体"/>
          <w:b/>
          <w:sz w:val="21"/>
          <w:szCs w:val="21"/>
          <w:lang w:val="en-US" w:eastAsia="zh-CN"/>
        </w:rPr>
        <w:t xml:space="preserve"> </w:t>
      </w:r>
      <w:r>
        <w:rPr>
          <w:rFonts w:hint="eastAsia" w:ascii="方正书宋简体" w:hAnsi="方正书宋简体" w:eastAsia="方正书宋简体" w:cs="方正书宋简体"/>
          <w:sz w:val="21"/>
          <w:szCs w:val="21"/>
        </w:rPr>
        <w:t xml:space="preserve"> 临时困难资助</w:t>
      </w:r>
    </w:p>
    <w:p w14:paraId="584EBE7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（一）申请条件</w:t>
      </w:r>
    </w:p>
    <w:p w14:paraId="69F7D99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1．学生在校期间因突发疾病急需住院治疗或门诊治疗费用较高，而家庭经济困难无力负担者；</w:t>
      </w:r>
    </w:p>
    <w:p w14:paraId="431EC67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 学生因其它原因，难以保障基本生活者；</w:t>
      </w:r>
    </w:p>
    <w:p w14:paraId="18CB20E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（二）学生个人提出书面申请</w:t>
      </w:r>
      <w:r>
        <w:rPr>
          <w:rFonts w:hint="eastAsia" w:ascii="方正书宋简体" w:hAnsi="方正书宋简体" w:eastAsia="方正书宋简体" w:cs="方正书宋简体"/>
          <w:sz w:val="21"/>
          <w:szCs w:val="21"/>
          <w:lang w:eastAsia="zh-CN"/>
        </w:rPr>
        <w:t>，</w:t>
      </w:r>
      <w:r>
        <w:rPr>
          <w:rFonts w:hint="eastAsia" w:ascii="方正书宋简体" w:hAnsi="方正书宋简体" w:eastAsia="方正书宋简体" w:cs="方正书宋简体"/>
          <w:sz w:val="21"/>
          <w:szCs w:val="21"/>
        </w:rPr>
        <w:t>注明家庭详细地址、家庭成员、电话号码、家庭经济收入情况、申请临时困难资助的理由等，并按规定程序审批。</w:t>
      </w:r>
    </w:p>
    <w:p w14:paraId="7C10E1B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（三）临时困难资助标准控制在200～600元/人次，特殊情况需增加金额应报学院领导批准。</w:t>
      </w:r>
    </w:p>
    <w:p w14:paraId="06DFFED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（四）同一时间段内，临时困难资助和特殊困难资助不得同时申请。</w:t>
      </w:r>
    </w:p>
    <w:p w14:paraId="09D987C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第十七条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学生有下列情况之一，原则上不予资助：</w:t>
      </w:r>
    </w:p>
    <w:p w14:paraId="1088589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（一）由于学生个人违纪违规等行为导致的临时经济困难者；</w:t>
      </w:r>
    </w:p>
    <w:p w14:paraId="5C02ABC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（二）吸烟、喝酒、赌博、泡网吧及生活铺张浪费或有其他高消费行为者；</w:t>
      </w:r>
    </w:p>
    <w:p w14:paraId="308F4C7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第十八条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申请与审批程序</w:t>
      </w:r>
    </w:p>
    <w:p w14:paraId="642D1B3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临时困难补助可随时申请，并按下列程序进行：</w:t>
      </w:r>
    </w:p>
    <w:p w14:paraId="6E42E64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（一）由学生本人提出书面申请，提供困难证明材料。</w:t>
      </w:r>
    </w:p>
    <w:p w14:paraId="0D9A1FC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（二）系辅导员核实、签署意见，报系部审核。</w:t>
      </w:r>
    </w:p>
    <w:p w14:paraId="521DD6E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（三）系主任审核并签署意见，报资助中心复审。</w:t>
      </w:r>
    </w:p>
    <w:p w14:paraId="75253B6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（四）资助中心复审后，提交院领导批准发放。</w:t>
      </w:r>
    </w:p>
    <w:p w14:paraId="4EF73A5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p>
    <w:p w14:paraId="6ACC14F6">
      <w:pPr>
        <w:pStyle w:val="3"/>
        <w:rPr>
          <w:rFonts w:hint="eastAsia"/>
        </w:rPr>
      </w:pPr>
      <w:bookmarkStart w:id="154" w:name="_Toc30417"/>
      <w:bookmarkStart w:id="155" w:name="_Toc16109"/>
      <w:r>
        <w:rPr>
          <w:rFonts w:hint="eastAsia"/>
        </w:rPr>
        <w:t>第八章  校内其他资助</w:t>
      </w:r>
      <w:bookmarkEnd w:id="154"/>
      <w:bookmarkEnd w:id="155"/>
    </w:p>
    <w:p w14:paraId="0D38865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sz w:val="21"/>
          <w:szCs w:val="21"/>
        </w:rPr>
      </w:pPr>
    </w:p>
    <w:p w14:paraId="62894AE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第十九条</w:t>
      </w:r>
      <w:r>
        <w:rPr>
          <w:rFonts w:hint="eastAsia" w:ascii="方正书宋简体" w:hAnsi="方正书宋简体" w:eastAsia="方正书宋简体" w:cs="方正书宋简体"/>
          <w:b/>
          <w:sz w:val="21"/>
          <w:szCs w:val="21"/>
          <w:lang w:val="en-US" w:eastAsia="zh-CN"/>
        </w:rPr>
        <w:t xml:space="preserve"> </w:t>
      </w:r>
      <w:r>
        <w:rPr>
          <w:rFonts w:hint="eastAsia" w:ascii="方正书宋简体" w:hAnsi="方正书宋简体" w:eastAsia="方正书宋简体" w:cs="方正书宋简体"/>
          <w:b/>
          <w:sz w:val="21"/>
          <w:szCs w:val="21"/>
        </w:rPr>
        <w:t xml:space="preserve"> </w:t>
      </w:r>
      <w:r>
        <w:rPr>
          <w:rFonts w:hint="eastAsia" w:ascii="方正书宋简体" w:hAnsi="方正书宋简体" w:eastAsia="方正书宋简体" w:cs="方正书宋简体"/>
          <w:sz w:val="21"/>
          <w:szCs w:val="21"/>
        </w:rPr>
        <w:t>学生助学贷款风险补偿金由资助中心与财务处核对无误后，按规定的程序办理。</w:t>
      </w:r>
    </w:p>
    <w:p w14:paraId="2F2E5B6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第二十条</w:t>
      </w:r>
      <w:r>
        <w:rPr>
          <w:rFonts w:hint="eastAsia" w:ascii="方正书宋简体" w:hAnsi="方正书宋简体" w:eastAsia="方正书宋简体" w:cs="方正书宋简体"/>
          <w:sz w:val="21"/>
          <w:szCs w:val="21"/>
        </w:rPr>
        <w:t xml:space="preserve">  校内奖学金。具体实施办法详见《安徽电气工程职业技术学院优秀奖学金评审办法》。</w:t>
      </w:r>
    </w:p>
    <w:p w14:paraId="60866DE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pacing w:val="-6"/>
          <w:sz w:val="21"/>
          <w:szCs w:val="21"/>
        </w:rPr>
      </w:pPr>
      <w:r>
        <w:rPr>
          <w:rFonts w:hint="eastAsia" w:ascii="方正书宋简体" w:hAnsi="方正书宋简体" w:eastAsia="方正书宋简体" w:cs="方正书宋简体"/>
          <w:b/>
          <w:sz w:val="21"/>
          <w:szCs w:val="21"/>
        </w:rPr>
        <w:t xml:space="preserve">第二十一条 </w:t>
      </w:r>
      <w:r>
        <w:rPr>
          <w:rFonts w:hint="eastAsia" w:ascii="方正书宋简体" w:hAnsi="方正书宋简体" w:eastAsia="方正书宋简体" w:cs="方正书宋简体"/>
          <w:b/>
          <w:sz w:val="21"/>
          <w:szCs w:val="21"/>
          <w:lang w:val="en-US" w:eastAsia="zh-CN"/>
        </w:rPr>
        <w:t xml:space="preserve"> </w:t>
      </w:r>
      <w:r>
        <w:rPr>
          <w:rFonts w:hint="eastAsia" w:ascii="方正书宋简体" w:hAnsi="方正书宋简体" w:eastAsia="方正书宋简体" w:cs="方正书宋简体"/>
          <w:spacing w:val="-6"/>
          <w:sz w:val="21"/>
          <w:szCs w:val="21"/>
        </w:rPr>
        <w:t>先进集体、先进个人奖励。具体实施办法详见《安徽电气工程职业技术学院先进集体和先进个人评选办法》。</w:t>
      </w:r>
    </w:p>
    <w:p w14:paraId="2D5DE2E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第二十二条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毕业班学生购买实习保险。具体实施办法详见《教育部办公厅关于实施全国职业院校学生实习责任保险统保示范项目的通知》（教职成厅函〔2012〕13号）。</w:t>
      </w:r>
    </w:p>
    <w:p w14:paraId="2B93221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p>
    <w:p w14:paraId="3F1E35B8">
      <w:pPr>
        <w:pStyle w:val="3"/>
        <w:rPr>
          <w:rFonts w:hint="eastAsia"/>
        </w:rPr>
      </w:pPr>
      <w:bookmarkStart w:id="156" w:name="_Toc17506"/>
      <w:bookmarkStart w:id="157" w:name="_Toc27705"/>
      <w:r>
        <w:rPr>
          <w:rFonts w:hint="eastAsia"/>
        </w:rPr>
        <w:t xml:space="preserve">第九章 </w:t>
      </w:r>
      <w:r>
        <w:rPr>
          <w:rFonts w:hint="eastAsia"/>
          <w:lang w:val="en-US" w:eastAsia="zh-CN"/>
        </w:rPr>
        <w:t xml:space="preserve"> </w:t>
      </w:r>
      <w:r>
        <w:rPr>
          <w:rFonts w:hint="eastAsia"/>
        </w:rPr>
        <w:t>纪律和责任</w:t>
      </w:r>
      <w:bookmarkEnd w:id="156"/>
      <w:bookmarkEnd w:id="157"/>
    </w:p>
    <w:p w14:paraId="7719AC0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sz w:val="21"/>
          <w:szCs w:val="21"/>
        </w:rPr>
      </w:pPr>
    </w:p>
    <w:p w14:paraId="6A3656E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第二十三条</w:t>
      </w:r>
      <w:r>
        <w:rPr>
          <w:rFonts w:hint="eastAsia" w:ascii="方正书宋简体" w:hAnsi="方正书宋简体" w:eastAsia="方正书宋简体" w:cs="方正书宋简体"/>
          <w:b/>
          <w:sz w:val="21"/>
          <w:szCs w:val="21"/>
          <w:lang w:val="en-US" w:eastAsia="zh-CN"/>
        </w:rPr>
        <w:t xml:space="preserve"> </w:t>
      </w:r>
      <w:r>
        <w:rPr>
          <w:rFonts w:hint="eastAsia" w:ascii="方正书宋简体" w:hAnsi="方正书宋简体" w:eastAsia="方正书宋简体" w:cs="方正书宋简体"/>
          <w:sz w:val="21"/>
          <w:szCs w:val="21"/>
        </w:rPr>
        <w:t xml:space="preserve"> 申请校内资助的学生提供的有关材料必须真实，如弄虚作假，一经查实，将视情节给予警告及以上纪律处分，所获得的资助全额追回。</w:t>
      </w:r>
    </w:p>
    <w:p w14:paraId="271BE97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第二十四条</w:t>
      </w:r>
      <w:r>
        <w:rPr>
          <w:rFonts w:hint="eastAsia" w:ascii="方正书宋简体" w:hAnsi="方正书宋简体" w:eastAsia="方正书宋简体" w:cs="方正书宋简体"/>
          <w:b/>
          <w:sz w:val="21"/>
          <w:szCs w:val="21"/>
          <w:lang w:val="en-US" w:eastAsia="zh-CN"/>
        </w:rPr>
        <w:t xml:space="preserve"> </w:t>
      </w:r>
      <w:r>
        <w:rPr>
          <w:rFonts w:hint="eastAsia" w:ascii="方正书宋简体" w:hAnsi="方正书宋简体" w:eastAsia="方正书宋简体" w:cs="方正书宋简体"/>
          <w:sz w:val="21"/>
          <w:szCs w:val="21"/>
        </w:rPr>
        <w:t xml:space="preserve"> 系部负责对申请材料的真实性审查、核实，对符合资助条件的，签署意见后按程序办理。</w:t>
      </w:r>
    </w:p>
    <w:p w14:paraId="7F3D997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第二十五条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系部对学生申请材料的审查、核实不严，弄虚作假，导致违反相关资助政策和制度的，将追究相关人员的纪律责任。</w:t>
      </w:r>
    </w:p>
    <w:p w14:paraId="0408C31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第二十六条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学院所属相关部门对符合资助条件并按规定程序办理完毕的家庭经济困难学生，要及时、足额进行资助，如有无故拖延、克扣、截留等违反资助规定的，将追究相关人员的纪律责任。</w:t>
      </w:r>
    </w:p>
    <w:p w14:paraId="7BDC686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p>
    <w:p w14:paraId="0A673948">
      <w:pPr>
        <w:pStyle w:val="3"/>
        <w:rPr>
          <w:rFonts w:hint="eastAsia"/>
        </w:rPr>
      </w:pPr>
      <w:bookmarkStart w:id="158" w:name="_Toc1432"/>
      <w:bookmarkStart w:id="159" w:name="_Toc5450"/>
      <w:r>
        <w:rPr>
          <w:rFonts w:hint="eastAsia"/>
        </w:rPr>
        <w:t xml:space="preserve">第十章 </w:t>
      </w:r>
      <w:r>
        <w:rPr>
          <w:rFonts w:hint="eastAsia"/>
          <w:lang w:val="en-US" w:eastAsia="zh-CN"/>
        </w:rPr>
        <w:t xml:space="preserve"> </w:t>
      </w:r>
      <w:r>
        <w:rPr>
          <w:rFonts w:hint="eastAsia"/>
        </w:rPr>
        <w:t>附则</w:t>
      </w:r>
      <w:bookmarkEnd w:id="158"/>
      <w:bookmarkEnd w:id="159"/>
    </w:p>
    <w:p w14:paraId="08FAAA0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sz w:val="21"/>
          <w:szCs w:val="21"/>
        </w:rPr>
      </w:pPr>
    </w:p>
    <w:p w14:paraId="4F6F416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第二十七条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本办法自2017年5月起施</w:t>
      </w:r>
      <w:r>
        <w:rPr>
          <w:rFonts w:hint="eastAsia" w:ascii="方正书宋简体" w:hAnsi="方正书宋简体" w:eastAsia="方正书宋简体" w:cs="方正书宋简体"/>
          <w:sz w:val="21"/>
          <w:szCs w:val="21"/>
          <w:lang w:val="en-US" w:eastAsia="zh-CN"/>
        </w:rPr>
        <w:t>行</w:t>
      </w:r>
      <w:r>
        <w:rPr>
          <w:rFonts w:hint="eastAsia" w:ascii="方正书宋简体" w:hAnsi="方正书宋简体" w:eastAsia="方正书宋简体" w:cs="方正书宋简体"/>
          <w:sz w:val="21"/>
          <w:szCs w:val="21"/>
        </w:rPr>
        <w:t>，原有相关制度同时废止。</w:t>
      </w:r>
    </w:p>
    <w:p w14:paraId="0C2ACA3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sz w:val="21"/>
          <w:szCs w:val="21"/>
        </w:rPr>
        <w:t>第二十八条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本办法</w:t>
      </w:r>
      <w:r>
        <w:rPr>
          <w:rFonts w:hint="eastAsia" w:ascii="方正书宋简体" w:hAnsi="方正书宋简体" w:eastAsia="方正书宋简体" w:cs="方正书宋简体"/>
          <w:sz w:val="21"/>
          <w:szCs w:val="21"/>
          <w:lang w:val="en-US" w:eastAsia="zh-CN"/>
        </w:rPr>
        <w:t>由</w:t>
      </w:r>
      <w:r>
        <w:rPr>
          <w:rFonts w:hint="eastAsia" w:ascii="方正书宋简体" w:hAnsi="方正书宋简体" w:eastAsia="方正书宋简体" w:cs="方正书宋简体"/>
          <w:sz w:val="21"/>
          <w:szCs w:val="21"/>
        </w:rPr>
        <w:t>学生资助管理中心</w:t>
      </w:r>
      <w:r>
        <w:rPr>
          <w:rFonts w:hint="eastAsia" w:ascii="方正书宋简体" w:hAnsi="方正书宋简体" w:eastAsia="方正书宋简体" w:cs="方正书宋简体"/>
          <w:sz w:val="21"/>
          <w:szCs w:val="21"/>
          <w:lang w:val="en-US" w:eastAsia="zh-CN"/>
        </w:rPr>
        <w:t>负责</w:t>
      </w:r>
      <w:r>
        <w:rPr>
          <w:rFonts w:hint="eastAsia" w:ascii="方正书宋简体" w:hAnsi="方正书宋简体" w:eastAsia="方正书宋简体" w:cs="方正书宋简体"/>
          <w:sz w:val="21"/>
          <w:szCs w:val="21"/>
        </w:rPr>
        <w:t>解释。</w:t>
      </w:r>
    </w:p>
    <w:p w14:paraId="4FF7BAF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b w:val="0"/>
          <w:bCs/>
          <w:sz w:val="21"/>
          <w:szCs w:val="21"/>
          <w:lang w:val="en-US" w:eastAsia="zh-CN"/>
        </w:rPr>
      </w:pPr>
      <w:r>
        <w:rPr>
          <w:rFonts w:hint="eastAsia" w:ascii="方正书宋简体" w:hAnsi="方正书宋简体" w:eastAsia="方正书宋简体" w:cs="方正书宋简体"/>
          <w:b w:val="0"/>
          <w:bCs/>
          <w:sz w:val="21"/>
          <w:szCs w:val="21"/>
          <w:lang w:val="en-US" w:eastAsia="zh-CN"/>
        </w:rPr>
        <w:br w:type="page"/>
      </w:r>
    </w:p>
    <w:p w14:paraId="017C6451">
      <w:pPr>
        <w:pStyle w:val="2"/>
        <w:rPr>
          <w:rFonts w:hint="eastAsia"/>
        </w:rPr>
      </w:pPr>
      <w:bookmarkStart w:id="160" w:name="_Toc992"/>
      <w:bookmarkStart w:id="161" w:name="_Toc25574"/>
      <w:bookmarkStart w:id="162" w:name="_Toc29106"/>
      <w:bookmarkStart w:id="163" w:name="_Toc576"/>
      <w:bookmarkStart w:id="164" w:name="_Toc12453"/>
      <w:bookmarkStart w:id="165" w:name="_Toc29863"/>
      <w:bookmarkStart w:id="166" w:name="_Toc6823"/>
      <w:bookmarkStart w:id="167" w:name="_Toc4319"/>
      <w:r>
        <w:rPr>
          <w:rFonts w:hint="eastAsia"/>
        </w:rPr>
        <w:t>安徽电气工程职业技术学院</w:t>
      </w:r>
      <w:bookmarkEnd w:id="160"/>
      <w:bookmarkEnd w:id="161"/>
      <w:bookmarkEnd w:id="162"/>
      <w:bookmarkEnd w:id="163"/>
      <w:bookmarkEnd w:id="164"/>
      <w:bookmarkEnd w:id="165"/>
      <w:bookmarkEnd w:id="166"/>
      <w:bookmarkEnd w:id="167"/>
      <w:bookmarkStart w:id="168" w:name="安徽电气工程职业技术学院学生勤工助学管理办法"/>
    </w:p>
    <w:p w14:paraId="78ECEAD2">
      <w:pPr>
        <w:pStyle w:val="2"/>
        <w:rPr>
          <w:rFonts w:hint="eastAsia"/>
        </w:rPr>
      </w:pPr>
      <w:bookmarkStart w:id="169" w:name="_Toc3601"/>
      <w:bookmarkStart w:id="170" w:name="_Toc31801"/>
      <w:bookmarkStart w:id="171" w:name="_Toc9105"/>
      <w:bookmarkStart w:id="172" w:name="_Toc4082"/>
      <w:bookmarkStart w:id="173" w:name="_Toc19752"/>
      <w:bookmarkStart w:id="174" w:name="_Toc18828"/>
      <w:bookmarkStart w:id="175" w:name="_Toc10515"/>
      <w:bookmarkStart w:id="176" w:name="_Toc32577"/>
      <w:r>
        <w:rPr>
          <w:rFonts w:hint="eastAsia"/>
        </w:rPr>
        <w:t>学生勤工助学管理办法</w:t>
      </w:r>
      <w:bookmarkEnd w:id="168"/>
      <w:bookmarkEnd w:id="169"/>
      <w:bookmarkEnd w:id="170"/>
      <w:bookmarkEnd w:id="171"/>
      <w:bookmarkEnd w:id="172"/>
      <w:bookmarkEnd w:id="173"/>
      <w:bookmarkEnd w:id="174"/>
      <w:bookmarkEnd w:id="175"/>
      <w:bookmarkEnd w:id="176"/>
    </w:p>
    <w:p w14:paraId="7ABAA346">
      <w:pPr>
        <w:pageBreakBefore w:val="0"/>
        <w:overflowPunct/>
        <w:topLinePunct w:val="0"/>
        <w:bidi w:val="0"/>
        <w:spacing w:line="400" w:lineRule="exact"/>
        <w:ind w:left="0" w:leftChars="0" w:right="0" w:firstLine="422" w:firstLineChars="200"/>
        <w:jc w:val="center"/>
        <w:rPr>
          <w:rFonts w:hint="eastAsia" w:ascii="方正书宋简体" w:hAnsi="方正书宋简体" w:eastAsia="方正书宋简体" w:cs="方正书宋简体"/>
          <w:b/>
          <w:sz w:val="21"/>
          <w:szCs w:val="21"/>
        </w:rPr>
      </w:pPr>
    </w:p>
    <w:p w14:paraId="602A0354">
      <w:pPr>
        <w:pStyle w:val="3"/>
        <w:rPr>
          <w:rFonts w:hint="eastAsia"/>
        </w:rPr>
      </w:pPr>
      <w:bookmarkStart w:id="177" w:name="_Toc19955"/>
      <w:bookmarkStart w:id="178" w:name="_Toc22976"/>
      <w:r>
        <w:rPr>
          <w:rFonts w:hint="eastAsia"/>
        </w:rPr>
        <w:t>第一章</w:t>
      </w:r>
      <w:r>
        <w:rPr>
          <w:rFonts w:hint="eastAsia"/>
          <w:lang w:val="en-US" w:eastAsia="zh-CN"/>
        </w:rPr>
        <w:t xml:space="preserve"> </w:t>
      </w:r>
      <w:r>
        <w:rPr>
          <w:rFonts w:hint="eastAsia"/>
        </w:rPr>
        <w:t xml:space="preserve"> 总则</w:t>
      </w:r>
      <w:bookmarkEnd w:id="177"/>
      <w:bookmarkEnd w:id="178"/>
    </w:p>
    <w:p w14:paraId="799C516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bCs/>
          <w:color w:val="auto"/>
          <w:sz w:val="21"/>
          <w:szCs w:val="21"/>
        </w:rPr>
      </w:pPr>
    </w:p>
    <w:p w14:paraId="5285C71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第一条</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为规范学</w:t>
      </w:r>
      <w:r>
        <w:rPr>
          <w:rFonts w:hint="eastAsia" w:ascii="方正书宋简体" w:hAnsi="方正书宋简体" w:eastAsia="方正书宋简体" w:cs="方正书宋简体"/>
          <w:color w:val="auto"/>
          <w:sz w:val="21"/>
          <w:szCs w:val="21"/>
          <w:lang w:val="en-US" w:eastAsia="zh-CN"/>
        </w:rPr>
        <w:t>校</w:t>
      </w:r>
      <w:r>
        <w:rPr>
          <w:rFonts w:hint="eastAsia" w:ascii="方正书宋简体" w:hAnsi="方正书宋简体" w:eastAsia="方正书宋简体" w:cs="方正书宋简体"/>
          <w:color w:val="auto"/>
          <w:sz w:val="21"/>
          <w:szCs w:val="21"/>
        </w:rPr>
        <w:t>勤工助学活动，促进学生勤工助学健康、有序开展，保障学生合法权益，培养学生自立自强意识，提高学生社会实践能力，帮助学生顺利完成学业，依据国家教育部、财政部《高等学校学生勤工助学管理办法》，结合学校实际制定本办法。</w:t>
      </w:r>
    </w:p>
    <w:p w14:paraId="74583A6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第二条</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勤工助学是学校学生资助工作的重要组成部分，是提高学生综合素质和资助家庭经济困难学生的有效途径。</w:t>
      </w:r>
    </w:p>
    <w:p w14:paraId="329BB29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第三条</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勤工助学活动是指学生在学校组织下利用课余时间，通过劳动取得合法报酬</w:t>
      </w:r>
      <w:r>
        <w:rPr>
          <w:rFonts w:hint="eastAsia" w:ascii="方正书宋简体" w:hAnsi="方正书宋简体" w:eastAsia="方正书宋简体" w:cs="方正书宋简体"/>
          <w:color w:val="auto"/>
          <w:sz w:val="21"/>
          <w:szCs w:val="21"/>
          <w:lang w:eastAsia="zh-CN"/>
        </w:rPr>
        <w:t>，</w:t>
      </w:r>
      <w:r>
        <w:rPr>
          <w:rFonts w:hint="eastAsia" w:ascii="方正书宋简体" w:hAnsi="方正书宋简体" w:eastAsia="方正书宋简体" w:cs="方正书宋简体"/>
          <w:color w:val="auto"/>
          <w:sz w:val="21"/>
          <w:szCs w:val="21"/>
        </w:rPr>
        <w:t>用于改善学习和生活条件的社会实践活动。</w:t>
      </w:r>
    </w:p>
    <w:p w14:paraId="00D900D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第四条</w:t>
      </w:r>
      <w:r>
        <w:rPr>
          <w:rFonts w:hint="eastAsia" w:ascii="方正书宋简体" w:hAnsi="方正书宋简体" w:eastAsia="方正书宋简体" w:cs="方正书宋简体"/>
          <w:b/>
          <w:bCs/>
          <w:color w:val="auto"/>
          <w:sz w:val="21"/>
          <w:szCs w:val="21"/>
          <w:lang w:val="en-US" w:eastAsia="zh-CN"/>
        </w:rPr>
        <w:t xml:space="preserve"> </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学校勤工助学活动坚持“立足校园、服务社会”的</w:t>
      </w:r>
      <w:r>
        <w:rPr>
          <w:rFonts w:hint="eastAsia" w:ascii="方正书宋简体" w:hAnsi="方正书宋简体" w:eastAsia="方正书宋简体" w:cs="方正书宋简体"/>
          <w:color w:val="auto"/>
          <w:sz w:val="21"/>
          <w:szCs w:val="21"/>
          <w:lang w:val="en-US"/>
        </w:rPr>
        <w:t>宗旨</w:t>
      </w:r>
      <w:r>
        <w:rPr>
          <w:rFonts w:hint="eastAsia" w:ascii="方正书宋简体" w:hAnsi="方正书宋简体" w:eastAsia="方正书宋简体" w:cs="方正书宋简体"/>
          <w:color w:val="auto"/>
          <w:sz w:val="21"/>
          <w:szCs w:val="21"/>
        </w:rPr>
        <w:t>，按照学有余力、自愿申请、信息公开、扶困优先、竞争上岗、遵纪守法的原则，在不影响正常教学秩序和学生正常学习的前提下有组织地开展。</w:t>
      </w:r>
    </w:p>
    <w:p w14:paraId="306C72E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第五条</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勤工助学活动由学校统一组织和管理。任何单位或个人未经学校学生资助管理机构同意，不得聘用在校学生</w:t>
      </w:r>
      <w:r>
        <w:rPr>
          <w:rFonts w:hint="eastAsia" w:ascii="方正书宋简体" w:hAnsi="方正书宋简体" w:eastAsia="方正书宋简体" w:cs="方正书宋简体"/>
          <w:color w:val="auto"/>
          <w:sz w:val="21"/>
          <w:szCs w:val="21"/>
          <w:lang w:val="en-US" w:eastAsia="zh-CN"/>
        </w:rPr>
        <w:t>从事勤工助学活动或义务劳动</w:t>
      </w:r>
      <w:r>
        <w:rPr>
          <w:rFonts w:hint="eastAsia" w:ascii="方正书宋简体" w:hAnsi="方正书宋简体" w:eastAsia="方正书宋简体" w:cs="方正书宋简体"/>
          <w:color w:val="auto"/>
          <w:sz w:val="21"/>
          <w:szCs w:val="21"/>
        </w:rPr>
        <w:t>。学生私自在校外</w:t>
      </w:r>
      <w:r>
        <w:rPr>
          <w:rFonts w:hint="eastAsia" w:ascii="方正书宋简体" w:hAnsi="方正书宋简体" w:eastAsia="方正书宋简体" w:cs="方正书宋简体"/>
          <w:color w:val="auto"/>
          <w:sz w:val="21"/>
          <w:szCs w:val="21"/>
          <w:lang w:val="en-US" w:eastAsia="zh-CN"/>
        </w:rPr>
        <w:t>从事勤工俭学活动</w:t>
      </w:r>
      <w:r>
        <w:rPr>
          <w:rFonts w:hint="eastAsia" w:ascii="方正书宋简体" w:hAnsi="方正书宋简体" w:eastAsia="方正书宋简体" w:cs="方正书宋简体"/>
          <w:color w:val="auto"/>
          <w:sz w:val="21"/>
          <w:szCs w:val="21"/>
        </w:rPr>
        <w:t>的行为，不在本办法规定之列。</w:t>
      </w:r>
    </w:p>
    <w:p w14:paraId="5B4C6C9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4A895FE4">
      <w:pPr>
        <w:pStyle w:val="3"/>
        <w:rPr>
          <w:rFonts w:hint="eastAsia"/>
        </w:rPr>
      </w:pPr>
      <w:bookmarkStart w:id="179" w:name="_Toc1048"/>
      <w:bookmarkStart w:id="180" w:name="_Toc12450"/>
      <w:r>
        <w:rPr>
          <w:rFonts w:hint="eastAsia"/>
        </w:rPr>
        <w:t xml:space="preserve">第二章 </w:t>
      </w:r>
      <w:r>
        <w:rPr>
          <w:rFonts w:hint="eastAsia"/>
          <w:lang w:val="en-US" w:eastAsia="zh-CN"/>
        </w:rPr>
        <w:t xml:space="preserve"> </w:t>
      </w:r>
      <w:r>
        <w:rPr>
          <w:rFonts w:hint="eastAsia"/>
        </w:rPr>
        <w:t>组织机构</w:t>
      </w:r>
      <w:bookmarkEnd w:id="179"/>
      <w:bookmarkEnd w:id="180"/>
    </w:p>
    <w:p w14:paraId="1A27D2B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bCs/>
          <w:color w:val="auto"/>
          <w:sz w:val="21"/>
          <w:szCs w:val="21"/>
        </w:rPr>
      </w:pPr>
    </w:p>
    <w:p w14:paraId="5386177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第六条</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学</w:t>
      </w:r>
      <w:r>
        <w:rPr>
          <w:rFonts w:hint="eastAsia" w:ascii="方正书宋简体" w:hAnsi="方正书宋简体" w:eastAsia="方正书宋简体" w:cs="方正书宋简体"/>
          <w:color w:val="auto"/>
          <w:sz w:val="21"/>
          <w:szCs w:val="21"/>
          <w:lang w:val="en-US" w:eastAsia="zh-CN"/>
        </w:rPr>
        <w:t>院</w:t>
      </w:r>
      <w:r>
        <w:rPr>
          <w:rFonts w:hint="eastAsia" w:ascii="方正书宋简体" w:hAnsi="方正书宋简体" w:eastAsia="方正书宋简体" w:cs="方正书宋简体"/>
          <w:color w:val="auto"/>
          <w:sz w:val="21"/>
          <w:szCs w:val="21"/>
        </w:rPr>
        <w:t>学生资助工作领导小组全面领导勤工助学工作，负责协调学校的财务、人事、学工、教务、科研、后勤、团委等部门，支持学生资助管理中心开展相关工作。</w:t>
      </w:r>
    </w:p>
    <w:p w14:paraId="4C630DC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第七条</w:t>
      </w:r>
      <w:r>
        <w:rPr>
          <w:rFonts w:hint="eastAsia" w:ascii="方正书宋简体" w:hAnsi="方正书宋简体" w:eastAsia="方正书宋简体" w:cs="方正书宋简体"/>
          <w:b/>
          <w:bCs/>
          <w:color w:val="auto"/>
          <w:sz w:val="21"/>
          <w:szCs w:val="21"/>
          <w:lang w:val="en-US" w:eastAsia="zh-CN"/>
        </w:rPr>
        <w:t xml:space="preserve"> </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学</w:t>
      </w:r>
      <w:r>
        <w:rPr>
          <w:rFonts w:hint="eastAsia" w:ascii="方正书宋简体" w:hAnsi="方正书宋简体" w:eastAsia="方正书宋简体" w:cs="方正书宋简体"/>
          <w:color w:val="auto"/>
          <w:sz w:val="21"/>
          <w:szCs w:val="21"/>
          <w:lang w:val="en-US" w:eastAsia="zh-CN"/>
        </w:rPr>
        <w:t>院</w:t>
      </w:r>
      <w:r>
        <w:rPr>
          <w:rFonts w:hint="eastAsia" w:ascii="方正书宋简体" w:hAnsi="方正书宋简体" w:eastAsia="方正书宋简体" w:cs="方正书宋简体"/>
          <w:color w:val="auto"/>
          <w:sz w:val="21"/>
          <w:szCs w:val="21"/>
        </w:rPr>
        <w:t>学生资助管理中心下设专门的学生勤工助学办公室（挂靠学生处），具体负责勤工助学的日常管理工作。</w:t>
      </w:r>
    </w:p>
    <w:p w14:paraId="34C1CF2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790356B7">
      <w:pPr>
        <w:pStyle w:val="3"/>
        <w:rPr>
          <w:rFonts w:hint="eastAsia"/>
        </w:rPr>
      </w:pPr>
      <w:bookmarkStart w:id="181" w:name="_Toc29643"/>
      <w:bookmarkStart w:id="182" w:name="_Toc14620"/>
      <w:r>
        <w:rPr>
          <w:rFonts w:hint="eastAsia"/>
        </w:rPr>
        <w:t xml:space="preserve">第三章 </w:t>
      </w:r>
      <w:r>
        <w:rPr>
          <w:rFonts w:hint="eastAsia"/>
          <w:lang w:val="en-US" w:eastAsia="zh-CN"/>
        </w:rPr>
        <w:t xml:space="preserve"> </w:t>
      </w:r>
      <w:r>
        <w:rPr>
          <w:rFonts w:hint="eastAsia"/>
        </w:rPr>
        <w:t>工作职责</w:t>
      </w:r>
      <w:bookmarkEnd w:id="181"/>
      <w:bookmarkEnd w:id="182"/>
    </w:p>
    <w:p w14:paraId="66FEE0E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bCs/>
          <w:color w:val="auto"/>
          <w:sz w:val="21"/>
          <w:szCs w:val="21"/>
        </w:rPr>
      </w:pPr>
    </w:p>
    <w:p w14:paraId="1632AA5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lang w:eastAsia="zh-CN"/>
        </w:rPr>
      </w:pPr>
      <w:r>
        <w:rPr>
          <w:rFonts w:hint="eastAsia" w:ascii="方正书宋简体" w:hAnsi="方正书宋简体" w:eastAsia="方正书宋简体" w:cs="方正书宋简体"/>
          <w:b/>
          <w:bCs/>
          <w:color w:val="auto"/>
          <w:sz w:val="21"/>
          <w:szCs w:val="21"/>
        </w:rPr>
        <w:t>第八条</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学生资助</w:t>
      </w:r>
      <w:r>
        <w:rPr>
          <w:rFonts w:hint="eastAsia" w:ascii="方正书宋简体" w:hAnsi="方正书宋简体" w:eastAsia="方正书宋简体" w:cs="方正书宋简体"/>
          <w:color w:val="auto"/>
          <w:sz w:val="21"/>
          <w:szCs w:val="21"/>
          <w:lang w:val="en-US" w:eastAsia="zh-CN"/>
        </w:rPr>
        <w:t>工作</w:t>
      </w:r>
      <w:r>
        <w:rPr>
          <w:rFonts w:hint="eastAsia" w:ascii="方正书宋简体" w:hAnsi="方正书宋简体" w:eastAsia="方正书宋简体" w:cs="方正书宋简体"/>
          <w:color w:val="auto"/>
          <w:sz w:val="21"/>
          <w:szCs w:val="21"/>
        </w:rPr>
        <w:t>领导小组职责</w:t>
      </w:r>
      <w:r>
        <w:rPr>
          <w:rFonts w:hint="eastAsia" w:ascii="方正书宋简体" w:hAnsi="方正书宋简体" w:eastAsia="方正书宋简体" w:cs="方正书宋简体"/>
          <w:color w:val="auto"/>
          <w:sz w:val="21"/>
          <w:szCs w:val="21"/>
          <w:lang w:eastAsia="zh-CN"/>
        </w:rPr>
        <w:t>：</w:t>
      </w:r>
    </w:p>
    <w:p w14:paraId="5F41DFF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1</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组织开展勤工助学活动是学校学生资助工作的一项重要内容。学校要加强领导，认真组织，积极鼓励校内有关职能部门充分发挥作用，在工作安排、人员配备、资金落实、办公场地、活动场所及助学岗位设置等方面给予大力支持，为学生勤工助学活动提供指导、服务和保障；</w:t>
      </w:r>
    </w:p>
    <w:p w14:paraId="3D2E17E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2</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根据本办法的规定，结合学校实际情况，制订并不断完善本校学生勤工助学活动的实施办法；</w:t>
      </w:r>
    </w:p>
    <w:p w14:paraId="2579490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3</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根据国家有关规定，筹措经费，设立勤工助学专项资金，并制订资金使用与管理办法；</w:t>
      </w:r>
    </w:p>
    <w:p w14:paraId="1E8F6EB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4</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加强对勤工助学学生的思想政治教育，帮助他们树立正确的劳动观。对在勤工助学活动中表现突出的学生予以表彰和奖励。对在勤工助学活动中违反校纪校规的，按照学校管理规定进行教育和处理。</w:t>
      </w:r>
    </w:p>
    <w:p w14:paraId="377C45D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lang w:eastAsia="zh-CN"/>
        </w:rPr>
      </w:pPr>
      <w:r>
        <w:rPr>
          <w:rFonts w:hint="eastAsia" w:ascii="方正书宋简体" w:hAnsi="方正书宋简体" w:eastAsia="方正书宋简体" w:cs="方正书宋简体"/>
          <w:b/>
          <w:bCs/>
          <w:color w:val="auto"/>
          <w:sz w:val="21"/>
          <w:szCs w:val="21"/>
        </w:rPr>
        <w:t>第九条</w:t>
      </w:r>
      <w:r>
        <w:rPr>
          <w:rFonts w:hint="eastAsia" w:ascii="方正书宋简体" w:hAnsi="方正书宋简体" w:eastAsia="方正书宋简体" w:cs="方正书宋简体"/>
          <w:color w:val="auto"/>
          <w:sz w:val="21"/>
          <w:szCs w:val="21"/>
        </w:rPr>
        <w:t xml:space="preserve"> </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学生勤工助学办公室职责</w:t>
      </w:r>
      <w:r>
        <w:rPr>
          <w:rFonts w:hint="eastAsia" w:ascii="方正书宋简体" w:hAnsi="方正书宋简体" w:eastAsia="方正书宋简体" w:cs="方正书宋简体"/>
          <w:color w:val="auto"/>
          <w:sz w:val="21"/>
          <w:szCs w:val="21"/>
          <w:lang w:eastAsia="zh-CN"/>
        </w:rPr>
        <w:t>：</w:t>
      </w:r>
    </w:p>
    <w:p w14:paraId="6ED6FC3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1</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确定校内勤工助学岗位，协调校内各单位，组织</w:t>
      </w:r>
      <w:r>
        <w:rPr>
          <w:rFonts w:hint="eastAsia" w:ascii="方正书宋简体" w:hAnsi="方正书宋简体" w:eastAsia="方正书宋简体" w:cs="方正书宋简体"/>
          <w:color w:val="auto"/>
          <w:sz w:val="21"/>
          <w:szCs w:val="21"/>
          <w:lang w:eastAsia="zh-CN"/>
        </w:rPr>
        <w:t>、</w:t>
      </w:r>
      <w:r>
        <w:rPr>
          <w:rFonts w:hint="eastAsia" w:ascii="方正书宋简体" w:hAnsi="方正书宋简体" w:eastAsia="方正书宋简体" w:cs="方正书宋简体"/>
          <w:color w:val="auto"/>
          <w:sz w:val="21"/>
          <w:szCs w:val="21"/>
        </w:rPr>
        <w:t>指导、监督学生勤工助学活动；</w:t>
      </w:r>
    </w:p>
    <w:p w14:paraId="77F544D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2</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开发校外勤工助学资源，积极收集校外勤工助学信息，开拓校外勤工助学渠道，增加校外勤工助学岗位，并纳入学校管理；</w:t>
      </w:r>
    </w:p>
    <w:p w14:paraId="584BFB5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3</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接受学生参加勤工助学活动的申请，安排学生勤工助学岗位，为学生和用人单位提供及时有效的服务；</w:t>
      </w:r>
    </w:p>
    <w:p w14:paraId="373C1E8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4</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在学校学生资助管理中心的领导下，配合学校财务部门共同管理和使用学校勤工助学专项资金，制订校内勤工助学岗位的补助标准，并负责补助的发放和管理工作；</w:t>
      </w:r>
    </w:p>
    <w:p w14:paraId="45C95D1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5</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组织学生开展必要的勤工助学岗前培训和安全教育，维护勤工助学学生的合法权益。</w:t>
      </w:r>
    </w:p>
    <w:p w14:paraId="4FE1AAC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第十条</w:t>
      </w:r>
      <w:r>
        <w:rPr>
          <w:rFonts w:hint="eastAsia" w:ascii="方正书宋简体" w:hAnsi="方正书宋简体" w:eastAsia="方正书宋简体" w:cs="方正书宋简体"/>
          <w:color w:val="auto"/>
          <w:sz w:val="21"/>
          <w:szCs w:val="21"/>
        </w:rPr>
        <w:t xml:space="preserve"> </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学校安排学生勤工助学，应优先考虑家庭经济困难的学生，不得组织学生参加有毒、有害和危险的生产作业以及超过学生身体承受能力、</w:t>
      </w:r>
      <w:r>
        <w:rPr>
          <w:rFonts w:hint="eastAsia" w:ascii="方正书宋简体" w:hAnsi="方正书宋简体" w:eastAsia="方正书宋简体" w:cs="方正书宋简体"/>
          <w:color w:val="auto"/>
          <w:sz w:val="21"/>
          <w:szCs w:val="21"/>
          <w:lang w:val="en-US" w:eastAsia="zh-CN"/>
        </w:rPr>
        <w:t>影响</w:t>
      </w:r>
      <w:r>
        <w:rPr>
          <w:rFonts w:hint="eastAsia" w:ascii="方正书宋简体" w:hAnsi="方正书宋简体" w:eastAsia="方正书宋简体" w:cs="方正书宋简体"/>
          <w:color w:val="auto"/>
          <w:sz w:val="21"/>
          <w:szCs w:val="21"/>
        </w:rPr>
        <w:t>学生</w:t>
      </w:r>
      <w:r>
        <w:rPr>
          <w:rFonts w:hint="eastAsia" w:ascii="方正书宋简体" w:hAnsi="方正书宋简体" w:eastAsia="方正书宋简体" w:cs="方正书宋简体"/>
          <w:color w:val="auto"/>
          <w:sz w:val="21"/>
          <w:szCs w:val="21"/>
          <w:lang w:val="en-US" w:eastAsia="zh-CN"/>
        </w:rPr>
        <w:t>身心</w:t>
      </w:r>
      <w:r>
        <w:rPr>
          <w:rFonts w:hint="eastAsia" w:ascii="方正书宋简体" w:hAnsi="方正书宋简体" w:eastAsia="方正书宋简体" w:cs="方正书宋简体"/>
          <w:color w:val="auto"/>
          <w:sz w:val="21"/>
          <w:szCs w:val="21"/>
        </w:rPr>
        <w:t>健康的劳动。</w:t>
      </w:r>
    </w:p>
    <w:p w14:paraId="03683DF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10146C5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75AF7CC3">
      <w:pPr>
        <w:pStyle w:val="3"/>
        <w:rPr>
          <w:rFonts w:hint="eastAsia"/>
        </w:rPr>
      </w:pPr>
      <w:bookmarkStart w:id="183" w:name="_Toc19452"/>
      <w:bookmarkStart w:id="184" w:name="_Toc11522"/>
      <w:r>
        <w:rPr>
          <w:rFonts w:hint="eastAsia"/>
        </w:rPr>
        <w:t xml:space="preserve">第四章 </w:t>
      </w:r>
      <w:r>
        <w:rPr>
          <w:rFonts w:hint="eastAsia"/>
          <w:lang w:val="en-US" w:eastAsia="zh-CN"/>
        </w:rPr>
        <w:t xml:space="preserve"> </w:t>
      </w:r>
      <w:r>
        <w:rPr>
          <w:rFonts w:hint="eastAsia"/>
        </w:rPr>
        <w:t>校内勤工助学岗位的设置</w:t>
      </w:r>
      <w:bookmarkEnd w:id="183"/>
      <w:bookmarkEnd w:id="184"/>
    </w:p>
    <w:p w14:paraId="054BFFEA">
      <w:pPr>
        <w:spacing w:line="400" w:lineRule="exact"/>
        <w:rPr>
          <w:rFonts w:hint="eastAsia"/>
        </w:rPr>
      </w:pPr>
    </w:p>
    <w:p w14:paraId="45CB1B0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第十一条</w:t>
      </w:r>
      <w:r>
        <w:rPr>
          <w:rFonts w:hint="eastAsia" w:ascii="方正书宋简体" w:hAnsi="方正书宋简体" w:eastAsia="方正书宋简体" w:cs="方正书宋简体"/>
          <w:b/>
          <w:bCs/>
          <w:color w:val="auto"/>
          <w:sz w:val="21"/>
          <w:szCs w:val="21"/>
          <w:lang w:val="en-US" w:eastAsia="zh-CN"/>
        </w:rPr>
        <w:t xml:space="preserve"> </w:t>
      </w:r>
      <w:r>
        <w:rPr>
          <w:rFonts w:hint="eastAsia" w:ascii="方正书宋简体" w:hAnsi="方正书宋简体" w:eastAsia="方正书宋简体" w:cs="方正书宋简体"/>
          <w:color w:val="auto"/>
          <w:sz w:val="21"/>
          <w:szCs w:val="21"/>
          <w:lang w:val="en-US" w:eastAsia="zh-CN"/>
        </w:rPr>
        <w:t xml:space="preserve"> 岗位设置</w:t>
      </w:r>
      <w:r>
        <w:rPr>
          <w:rFonts w:hint="eastAsia" w:ascii="方正书宋简体" w:hAnsi="方正书宋简体" w:eastAsia="方正书宋简体" w:cs="方正书宋简体"/>
          <w:color w:val="auto"/>
          <w:sz w:val="21"/>
          <w:szCs w:val="21"/>
        </w:rPr>
        <w:t>原则：以工时定岗位。</w:t>
      </w:r>
    </w:p>
    <w:p w14:paraId="1BB2C31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1</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按每个家庭经济困难学生月平均上岗工时不低于20小时为标准，测算出学期内全校每月需要的勤工助学总工时数（20工时×勤工助学学生总数），统筹安排、设置校内勤工助学岗位。</w:t>
      </w:r>
    </w:p>
    <w:p w14:paraId="611142CC">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2</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设置岗位</w:t>
      </w:r>
      <w:r>
        <w:rPr>
          <w:rFonts w:hint="eastAsia" w:ascii="方正书宋简体" w:hAnsi="方正书宋简体" w:eastAsia="方正书宋简体" w:cs="方正书宋简体"/>
          <w:color w:val="auto"/>
          <w:sz w:val="21"/>
          <w:szCs w:val="21"/>
          <w:lang w:val="en-US" w:eastAsia="zh-CN"/>
        </w:rPr>
        <w:t>的</w:t>
      </w:r>
      <w:r>
        <w:rPr>
          <w:rFonts w:hint="eastAsia" w:ascii="方正书宋简体" w:hAnsi="方正书宋简体" w:eastAsia="方正书宋简体" w:cs="方正书宋简体"/>
          <w:color w:val="auto"/>
          <w:sz w:val="21"/>
          <w:szCs w:val="21"/>
        </w:rPr>
        <w:t>数量既要满足学生的工时需求，又要保证学生不因参加勤工助学而影响学习。学生参加勤工助学的时间原则上每周不超过8小时，每月不超过40小时。</w:t>
      </w:r>
    </w:p>
    <w:p w14:paraId="72E7379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第十二条</w:t>
      </w:r>
      <w:r>
        <w:rPr>
          <w:rFonts w:hint="eastAsia" w:ascii="方正书宋简体" w:hAnsi="方正书宋简体" w:eastAsia="方正书宋简体" w:cs="方正书宋简体"/>
          <w:b/>
          <w:bCs/>
          <w:color w:val="auto"/>
          <w:sz w:val="21"/>
          <w:szCs w:val="21"/>
          <w:lang w:val="en-US" w:eastAsia="zh-CN"/>
        </w:rPr>
        <w:t xml:space="preserve"> </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岗位类型：勤工助学岗位分固定岗位和临时岗位。</w:t>
      </w:r>
    </w:p>
    <w:p w14:paraId="627DEF4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1</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固定岗位是指持续一个学期以上的长期性岗位和寒暑假期间连续</w:t>
      </w:r>
      <w:r>
        <w:rPr>
          <w:rFonts w:hint="eastAsia" w:ascii="方正书宋简体" w:hAnsi="方正书宋简体" w:eastAsia="方正书宋简体" w:cs="方正书宋简体"/>
          <w:color w:val="auto"/>
          <w:sz w:val="21"/>
          <w:szCs w:val="21"/>
          <w:lang w:val="en-US" w:eastAsia="zh-CN"/>
        </w:rPr>
        <w:t>工作的</w:t>
      </w:r>
      <w:r>
        <w:rPr>
          <w:rFonts w:hint="eastAsia" w:ascii="方正书宋简体" w:hAnsi="方正书宋简体" w:eastAsia="方正书宋简体" w:cs="方正书宋简体"/>
          <w:color w:val="auto"/>
          <w:sz w:val="21"/>
          <w:szCs w:val="21"/>
        </w:rPr>
        <w:t>岗位；</w:t>
      </w:r>
    </w:p>
    <w:p w14:paraId="03D4A1E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2</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临时岗位是指通过一次或几次勤工助学活动就完成任务的工作岗位；</w:t>
      </w:r>
    </w:p>
    <w:p w14:paraId="366FA25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3</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校内勤工助学岗位设置应以校内行政管理助理和后勤服务为主；</w:t>
      </w:r>
    </w:p>
    <w:p w14:paraId="5559447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4</w:t>
      </w:r>
      <w:r>
        <w:rPr>
          <w:rFonts w:hint="eastAsia" w:ascii="方正书宋简体" w:hAnsi="方正书宋简体" w:eastAsia="方正书宋简体" w:cs="方正书宋简体"/>
          <w:color w:val="auto"/>
          <w:sz w:val="21"/>
          <w:szCs w:val="21"/>
          <w:lang w:val="en-US" w:eastAsia="zh-CN"/>
        </w:rPr>
        <w:t>.</w:t>
      </w:r>
      <w:r>
        <w:rPr>
          <w:rFonts w:hint="eastAsia" w:ascii="方正书宋简体" w:hAnsi="方正书宋简体" w:eastAsia="方正书宋简体" w:cs="方正书宋简体"/>
          <w:color w:val="auto"/>
          <w:sz w:val="21"/>
          <w:szCs w:val="21"/>
        </w:rPr>
        <w:t>学校后勤部门应</w:t>
      </w:r>
      <w:r>
        <w:rPr>
          <w:rFonts w:hint="eastAsia" w:ascii="方正书宋简体" w:hAnsi="方正书宋简体" w:eastAsia="方正书宋简体" w:cs="方正书宋简体"/>
          <w:color w:val="auto"/>
          <w:sz w:val="21"/>
          <w:szCs w:val="21"/>
          <w:lang w:val="en-US" w:eastAsia="zh-CN"/>
        </w:rPr>
        <w:t>适当</w:t>
      </w:r>
      <w:r>
        <w:rPr>
          <w:rFonts w:hint="eastAsia" w:ascii="方正书宋简体" w:hAnsi="方正书宋简体" w:eastAsia="方正书宋简体" w:cs="方正书宋简体"/>
          <w:color w:val="auto"/>
          <w:sz w:val="21"/>
          <w:szCs w:val="21"/>
        </w:rPr>
        <w:t>减少临时</w:t>
      </w:r>
      <w:r>
        <w:rPr>
          <w:rFonts w:hint="eastAsia" w:ascii="方正书宋简体" w:hAnsi="方正书宋简体" w:eastAsia="方正书宋简体" w:cs="方正书宋简体"/>
          <w:color w:val="auto"/>
          <w:sz w:val="21"/>
          <w:szCs w:val="21"/>
          <w:lang w:val="en-US" w:eastAsia="zh-CN"/>
        </w:rPr>
        <w:t>性用</w:t>
      </w:r>
      <w:r>
        <w:rPr>
          <w:rFonts w:hint="eastAsia" w:ascii="方正书宋简体" w:hAnsi="方正书宋简体" w:eastAsia="方正书宋简体" w:cs="方正书宋简体"/>
          <w:color w:val="auto"/>
          <w:sz w:val="21"/>
          <w:szCs w:val="21"/>
        </w:rPr>
        <w:t>工，调整出适合学生参与管理和服务的岗位，为学生提供更多的勤工助学机会。</w:t>
      </w:r>
    </w:p>
    <w:p w14:paraId="7B5C28B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2F8855D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bCs/>
          <w:color w:val="auto"/>
          <w:sz w:val="21"/>
          <w:szCs w:val="21"/>
        </w:rPr>
      </w:pPr>
    </w:p>
    <w:p w14:paraId="273E9C78">
      <w:pPr>
        <w:pStyle w:val="3"/>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80" w:firstLineChars="200"/>
        <w:jc w:val="center"/>
        <w:textAlignment w:val="auto"/>
        <w:rPr>
          <w:rFonts w:hint="eastAsia" w:ascii="Arial" w:hAnsi="Arial" w:eastAsia="方正黑体_GBK" w:cs="Times New Roman"/>
          <w:b w:val="0"/>
          <w:bCs w:val="0"/>
          <w:color w:val="auto"/>
          <w:sz w:val="24"/>
          <w:szCs w:val="24"/>
        </w:rPr>
      </w:pPr>
      <w:bookmarkStart w:id="185" w:name="_Toc21349"/>
      <w:bookmarkStart w:id="186" w:name="_Toc27739"/>
      <w:r>
        <w:rPr>
          <w:rFonts w:hint="eastAsia" w:ascii="Arial" w:hAnsi="Arial" w:eastAsia="方正黑体_GBK" w:cs="Times New Roman"/>
          <w:b w:val="0"/>
          <w:bCs w:val="0"/>
          <w:color w:val="auto"/>
          <w:sz w:val="24"/>
          <w:szCs w:val="24"/>
        </w:rPr>
        <w:t>第五章</w:t>
      </w:r>
      <w:r>
        <w:rPr>
          <w:rFonts w:hint="eastAsia" w:ascii="Arial" w:hAnsi="Arial" w:eastAsia="方正黑体_GBK" w:cs="Times New Roman"/>
          <w:b w:val="0"/>
          <w:bCs w:val="0"/>
          <w:color w:val="auto"/>
          <w:sz w:val="24"/>
          <w:szCs w:val="24"/>
          <w:lang w:val="en-US" w:eastAsia="zh-CN"/>
        </w:rPr>
        <w:t xml:space="preserve"> </w:t>
      </w:r>
      <w:r>
        <w:rPr>
          <w:rFonts w:hint="eastAsia" w:ascii="Arial" w:hAnsi="Arial" w:eastAsia="方正黑体_GBK" w:cs="Times New Roman"/>
          <w:b w:val="0"/>
          <w:bCs w:val="0"/>
          <w:color w:val="auto"/>
          <w:sz w:val="24"/>
          <w:szCs w:val="24"/>
        </w:rPr>
        <w:t xml:space="preserve"> 校外勤工助学活动的管理</w:t>
      </w:r>
      <w:bookmarkEnd w:id="185"/>
      <w:bookmarkEnd w:id="186"/>
    </w:p>
    <w:p w14:paraId="3879BAB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bCs/>
          <w:color w:val="auto"/>
          <w:sz w:val="21"/>
          <w:szCs w:val="21"/>
        </w:rPr>
      </w:pPr>
    </w:p>
    <w:p w14:paraId="43706B8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第十三条</w:t>
      </w:r>
      <w:r>
        <w:rPr>
          <w:rFonts w:hint="eastAsia" w:ascii="方正书宋简体" w:hAnsi="方正书宋简体" w:eastAsia="方正书宋简体" w:cs="方正书宋简体"/>
          <w:b/>
          <w:bCs/>
          <w:color w:val="auto"/>
          <w:sz w:val="21"/>
          <w:szCs w:val="21"/>
          <w:lang w:val="en-US" w:eastAsia="zh-CN"/>
        </w:rPr>
        <w:t xml:space="preserve"> </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校外勤工助学活动必须由学校学生勤工助学管理中心统一组织管理，并注重与学生学业的有机结合。</w:t>
      </w:r>
    </w:p>
    <w:p w14:paraId="76F4B66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第十四条</w:t>
      </w:r>
      <w:r>
        <w:rPr>
          <w:rFonts w:hint="eastAsia" w:ascii="方正书宋简体" w:hAnsi="方正书宋简体" w:eastAsia="方正书宋简体" w:cs="方正书宋简体"/>
          <w:b/>
          <w:bCs/>
          <w:color w:val="auto"/>
          <w:sz w:val="21"/>
          <w:szCs w:val="21"/>
          <w:lang w:val="en-US" w:eastAsia="zh-CN"/>
        </w:rPr>
        <w:t xml:space="preserve"> </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校外</w:t>
      </w:r>
      <w:r>
        <w:rPr>
          <w:rFonts w:hint="eastAsia" w:ascii="方正书宋简体" w:hAnsi="方正书宋简体" w:eastAsia="方正书宋简体" w:cs="方正书宋简体"/>
          <w:color w:val="auto"/>
          <w:sz w:val="21"/>
          <w:szCs w:val="21"/>
          <w:lang w:val="en-US" w:eastAsia="zh-CN"/>
        </w:rPr>
        <w:t>机构</w:t>
      </w:r>
      <w:r>
        <w:rPr>
          <w:rFonts w:hint="eastAsia" w:ascii="方正书宋简体" w:hAnsi="方正书宋简体" w:eastAsia="方正书宋简体" w:cs="方正书宋简体"/>
          <w:color w:val="auto"/>
          <w:sz w:val="21"/>
          <w:szCs w:val="21"/>
        </w:rPr>
        <w:t>聘用学生勤工助学，须向学校学生学生资助管理中心提出申请，提供法人资格证书副本和相关的证明文件。经审核同意，由学校学生勤工助学办公室推荐适合用人单位工作要求的学生参加勤工助学活动。</w:t>
      </w:r>
    </w:p>
    <w:p w14:paraId="71AE86C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58417056">
      <w:pPr>
        <w:pStyle w:val="3"/>
        <w:rPr>
          <w:rFonts w:hint="eastAsia"/>
          <w:lang w:val="en-US" w:eastAsia="zh-CN"/>
        </w:rPr>
      </w:pPr>
      <w:bookmarkStart w:id="187" w:name="_Toc28219"/>
      <w:bookmarkStart w:id="188" w:name="_Toc8577"/>
      <w:r>
        <w:rPr>
          <w:rFonts w:hint="eastAsia"/>
        </w:rPr>
        <w:t>第六章</w:t>
      </w:r>
      <w:r>
        <w:rPr>
          <w:rFonts w:hint="eastAsia"/>
          <w:lang w:val="en-US" w:eastAsia="zh-CN"/>
        </w:rPr>
        <w:t xml:space="preserve"> </w:t>
      </w:r>
      <w:r>
        <w:rPr>
          <w:rFonts w:hint="eastAsia"/>
        </w:rPr>
        <w:t xml:space="preserve"> 勤工助学补助标准及支付</w:t>
      </w:r>
      <w:r>
        <w:rPr>
          <w:rFonts w:hint="eastAsia"/>
          <w:lang w:val="en-US" w:eastAsia="zh-CN"/>
        </w:rPr>
        <w:t>方式</w:t>
      </w:r>
      <w:bookmarkEnd w:id="187"/>
      <w:bookmarkEnd w:id="188"/>
    </w:p>
    <w:p w14:paraId="46BF265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bCs/>
          <w:color w:val="auto"/>
          <w:sz w:val="21"/>
          <w:szCs w:val="21"/>
          <w:lang w:val="en-US" w:eastAsia="zh-CN"/>
        </w:rPr>
      </w:pPr>
    </w:p>
    <w:p w14:paraId="1A2418A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第十五条</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校内固定岗位补助按月计算。以每月40个工时计算，原则上不低于当地政府或有关部门制定的最低工资标准或居民最低生活保障标准为计酬基准，可根据考核结果适当上下浮动。</w:t>
      </w:r>
    </w:p>
    <w:p w14:paraId="558FE14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第十六条</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校内临时岗位补助按小时计算，原则上不低于每小时12元人民币。</w:t>
      </w:r>
    </w:p>
    <w:p w14:paraId="25E5C9A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第十七条</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校外勤工助学补助标准不应低于当地政府或有关部门规定的最低工资标准，由用人单位、学校与学生协商确定，并写入勤工助学协议，其劳动补助由校外用人单位按协议支付。</w:t>
      </w:r>
    </w:p>
    <w:p w14:paraId="1F3476E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第十八条</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学生参与校内非营利性单位的勤工助学活动，其劳动报酬由学生勤工助学领导小组从勤工助学专项资金中</w:t>
      </w:r>
      <w:r>
        <w:rPr>
          <w:rFonts w:hint="eastAsia" w:ascii="方正书宋简体" w:hAnsi="方正书宋简体" w:eastAsia="方正书宋简体" w:cs="方正书宋简体"/>
          <w:color w:val="auto"/>
          <w:sz w:val="21"/>
          <w:szCs w:val="21"/>
          <w:lang w:val="en-US" w:eastAsia="zh-CN"/>
        </w:rPr>
        <w:t>列支</w:t>
      </w:r>
      <w:r>
        <w:rPr>
          <w:rFonts w:hint="eastAsia" w:ascii="方正书宋简体" w:hAnsi="方正书宋简体" w:eastAsia="方正书宋简体" w:cs="方正书宋简体"/>
          <w:color w:val="auto"/>
          <w:sz w:val="21"/>
          <w:szCs w:val="21"/>
        </w:rPr>
        <w:t>；学生参与校内营利性单位或有专门经费项目的勤工助学活动，其劳动报酬原则上由用人单位支付或从项目经费中</w:t>
      </w:r>
      <w:r>
        <w:rPr>
          <w:rFonts w:hint="eastAsia" w:ascii="方正书宋简体" w:hAnsi="方正书宋简体" w:eastAsia="方正书宋简体" w:cs="方正书宋简体"/>
          <w:color w:val="auto"/>
          <w:sz w:val="21"/>
          <w:szCs w:val="21"/>
          <w:lang w:val="en-US" w:eastAsia="zh-CN"/>
        </w:rPr>
        <w:t>列</w:t>
      </w:r>
      <w:r>
        <w:rPr>
          <w:rFonts w:hint="eastAsia" w:ascii="方正书宋简体" w:hAnsi="方正书宋简体" w:eastAsia="方正书宋简体" w:cs="方正书宋简体"/>
          <w:color w:val="auto"/>
          <w:sz w:val="21"/>
          <w:szCs w:val="21"/>
        </w:rPr>
        <w:t>支。</w:t>
      </w:r>
    </w:p>
    <w:p w14:paraId="16CA3A9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156FB0C8">
      <w:pPr>
        <w:pStyle w:val="3"/>
        <w:rPr>
          <w:rFonts w:hint="eastAsia"/>
        </w:rPr>
      </w:pPr>
      <w:bookmarkStart w:id="189" w:name="_Toc30457"/>
      <w:bookmarkStart w:id="190" w:name="_Toc19434"/>
      <w:r>
        <w:rPr>
          <w:rFonts w:hint="eastAsia"/>
        </w:rPr>
        <w:t>第七章</w:t>
      </w:r>
      <w:r>
        <w:rPr>
          <w:rFonts w:hint="eastAsia"/>
          <w:lang w:val="en-US" w:eastAsia="zh-CN"/>
        </w:rPr>
        <w:t xml:space="preserve"> </w:t>
      </w:r>
      <w:r>
        <w:rPr>
          <w:rFonts w:hint="eastAsia"/>
        </w:rPr>
        <w:t xml:space="preserve"> 法律责任</w:t>
      </w:r>
      <w:bookmarkEnd w:id="189"/>
      <w:bookmarkEnd w:id="190"/>
    </w:p>
    <w:p w14:paraId="1C8CBC6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both"/>
        <w:textAlignment w:val="auto"/>
        <w:rPr>
          <w:rFonts w:hint="eastAsia" w:ascii="方正书宋简体" w:hAnsi="方正书宋简体" w:eastAsia="方正书宋简体" w:cs="方正书宋简体"/>
          <w:b/>
          <w:bCs/>
          <w:color w:val="auto"/>
          <w:sz w:val="21"/>
          <w:szCs w:val="21"/>
        </w:rPr>
      </w:pPr>
    </w:p>
    <w:p w14:paraId="30CA6CC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第十九条</w:t>
      </w:r>
      <w:r>
        <w:rPr>
          <w:rFonts w:hint="eastAsia" w:ascii="方正书宋简体" w:hAnsi="方正书宋简体" w:eastAsia="方正书宋简体" w:cs="方正书宋简体"/>
          <w:b/>
          <w:bCs/>
          <w:color w:val="auto"/>
          <w:sz w:val="21"/>
          <w:szCs w:val="21"/>
          <w:lang w:val="en-US" w:eastAsia="zh-CN"/>
        </w:rPr>
        <w:t xml:space="preserve"> </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学生在校内开展勤工助学活动的，学生勤工助学办公室必须与学生签订具有法律效力的协议书。学生在校外开展勤工助学活动的，学生勤工助学办公室必须经学校授权，代表学校与用人单位和学生三方签订具有法律效力的协议书。签订协议书并办理相关聘用手续后，学生方可开展勤工助学活动。</w:t>
      </w:r>
    </w:p>
    <w:p w14:paraId="611A502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color w:val="auto"/>
          <w:sz w:val="21"/>
          <w:szCs w:val="21"/>
        </w:rPr>
        <w:t>协议书必须明确学校、用人单位和学生等各方的权利和义务，</w:t>
      </w:r>
      <w:r>
        <w:rPr>
          <w:rFonts w:hint="eastAsia" w:ascii="方正书宋简体" w:hAnsi="方正书宋简体" w:eastAsia="方正书宋简体" w:cs="方正书宋简体"/>
          <w:color w:val="auto"/>
          <w:sz w:val="21"/>
          <w:szCs w:val="21"/>
          <w:lang w:val="en-US" w:eastAsia="zh-CN"/>
        </w:rPr>
        <w:t>明确</w:t>
      </w:r>
      <w:r>
        <w:rPr>
          <w:rFonts w:hint="eastAsia" w:ascii="方正书宋简体" w:hAnsi="方正书宋简体" w:eastAsia="方正书宋简体" w:cs="方正书宋简体"/>
          <w:color w:val="auto"/>
          <w:sz w:val="21"/>
          <w:szCs w:val="21"/>
        </w:rPr>
        <w:t>学生</w:t>
      </w:r>
      <w:r>
        <w:rPr>
          <w:rFonts w:hint="eastAsia" w:ascii="方正书宋简体" w:hAnsi="方正书宋简体" w:eastAsia="方正书宋简体" w:cs="方正书宋简体"/>
          <w:color w:val="auto"/>
          <w:sz w:val="21"/>
          <w:szCs w:val="21"/>
          <w:lang w:val="en-US" w:eastAsia="zh-CN"/>
        </w:rPr>
        <w:t>从事</w:t>
      </w:r>
      <w:r>
        <w:rPr>
          <w:rFonts w:hint="eastAsia" w:ascii="方正书宋简体" w:hAnsi="方正书宋简体" w:eastAsia="方正书宋简体" w:cs="方正书宋简体"/>
          <w:color w:val="auto"/>
          <w:sz w:val="21"/>
          <w:szCs w:val="21"/>
        </w:rPr>
        <w:t>勤工助学活动</w:t>
      </w:r>
      <w:r>
        <w:rPr>
          <w:rFonts w:hint="eastAsia" w:ascii="方正书宋简体" w:hAnsi="方正书宋简体" w:eastAsia="方正书宋简体" w:cs="方正书宋简体"/>
          <w:color w:val="auto"/>
          <w:sz w:val="21"/>
          <w:szCs w:val="21"/>
          <w:lang w:val="en-US" w:eastAsia="zh-CN"/>
        </w:rPr>
        <w:t>期间</w:t>
      </w:r>
      <w:r>
        <w:rPr>
          <w:rFonts w:hint="eastAsia" w:ascii="方正书宋简体" w:hAnsi="方正书宋简体" w:eastAsia="方正书宋简体" w:cs="方正书宋简体"/>
          <w:color w:val="auto"/>
          <w:sz w:val="21"/>
          <w:szCs w:val="21"/>
        </w:rPr>
        <w:t>发生意外伤害事故的处理办法以及争议解决方法。</w:t>
      </w:r>
    </w:p>
    <w:p w14:paraId="152C7DA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第二十条</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在勤工助学活动中，若出现协议纠纷或学生意外伤害事故，协议各方应按照签订的协议协商解决。如不能达成一致意见，按照有关法律法规规定的程序办理。</w:t>
      </w:r>
    </w:p>
    <w:p w14:paraId="1E1BD89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color w:val="auto"/>
          <w:sz w:val="21"/>
          <w:szCs w:val="21"/>
        </w:rPr>
      </w:pPr>
    </w:p>
    <w:p w14:paraId="30C2E66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bCs/>
          <w:color w:val="auto"/>
          <w:sz w:val="21"/>
          <w:szCs w:val="21"/>
        </w:rPr>
      </w:pPr>
    </w:p>
    <w:p w14:paraId="5186B72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bCs/>
          <w:color w:val="auto"/>
          <w:sz w:val="21"/>
          <w:szCs w:val="21"/>
        </w:rPr>
      </w:pPr>
    </w:p>
    <w:p w14:paraId="757ACA41">
      <w:pPr>
        <w:pStyle w:val="3"/>
        <w:rPr>
          <w:rFonts w:hint="eastAsia"/>
        </w:rPr>
      </w:pPr>
      <w:bookmarkStart w:id="191" w:name="_Toc19377"/>
      <w:bookmarkStart w:id="192" w:name="_Toc17617"/>
      <w:r>
        <w:rPr>
          <w:rFonts w:hint="eastAsia"/>
        </w:rPr>
        <w:t>第八章  附  则</w:t>
      </w:r>
      <w:bookmarkEnd w:id="191"/>
      <w:bookmarkEnd w:id="192"/>
    </w:p>
    <w:p w14:paraId="2770733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bCs/>
          <w:color w:val="auto"/>
          <w:sz w:val="21"/>
          <w:szCs w:val="21"/>
        </w:rPr>
      </w:pPr>
    </w:p>
    <w:p w14:paraId="5F57861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第二十一条</w:t>
      </w:r>
      <w:r>
        <w:rPr>
          <w:rFonts w:hint="eastAsia" w:ascii="方正书宋简体" w:hAnsi="方正书宋简体" w:eastAsia="方正书宋简体" w:cs="方正书宋简体"/>
          <w:b/>
          <w:bCs/>
          <w:color w:val="auto"/>
          <w:sz w:val="21"/>
          <w:szCs w:val="21"/>
          <w:lang w:val="en-US" w:eastAsia="zh-CN"/>
        </w:rPr>
        <w:t xml:space="preserve"> </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本办法的附件为《安徽电气工程职业技术学院勤工助学岗位管理实施细则》。</w:t>
      </w:r>
    </w:p>
    <w:p w14:paraId="2D1FB09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第二十二条</w:t>
      </w:r>
      <w:r>
        <w:rPr>
          <w:rFonts w:hint="eastAsia" w:ascii="方正书宋简体" w:hAnsi="方正书宋简体" w:eastAsia="方正书宋简体" w:cs="方正书宋简体"/>
          <w:b/>
          <w:bCs/>
          <w:color w:val="auto"/>
          <w:sz w:val="21"/>
          <w:szCs w:val="21"/>
          <w:lang w:val="en-US" w:eastAsia="zh-CN"/>
        </w:rPr>
        <w:t xml:space="preserve"> </w:t>
      </w:r>
      <w:r>
        <w:rPr>
          <w:rFonts w:hint="eastAsia" w:ascii="方正书宋简体" w:hAnsi="方正书宋简体" w:eastAsia="方正书宋简体" w:cs="方正书宋简体"/>
          <w:color w:val="auto"/>
          <w:sz w:val="21"/>
          <w:szCs w:val="21"/>
          <w:lang w:val="en-US" w:eastAsia="zh-CN"/>
        </w:rPr>
        <w:t xml:space="preserve"> </w:t>
      </w:r>
      <w:r>
        <w:rPr>
          <w:rFonts w:hint="eastAsia" w:ascii="方正书宋简体" w:hAnsi="方正书宋简体" w:eastAsia="方正书宋简体" w:cs="方正书宋简体"/>
          <w:color w:val="auto"/>
          <w:sz w:val="21"/>
          <w:szCs w:val="21"/>
        </w:rPr>
        <w:t>本办法自20</w:t>
      </w:r>
      <w:r>
        <w:rPr>
          <w:rFonts w:hint="eastAsia" w:ascii="方正书宋简体" w:hAnsi="方正书宋简体" w:eastAsia="方正书宋简体" w:cs="方正书宋简体"/>
          <w:color w:val="auto"/>
          <w:sz w:val="21"/>
          <w:szCs w:val="21"/>
          <w:lang w:val="en-US" w:eastAsia="zh-CN"/>
        </w:rPr>
        <w:t>24</w:t>
      </w:r>
      <w:r>
        <w:rPr>
          <w:rFonts w:hint="eastAsia" w:ascii="方正书宋简体" w:hAnsi="方正书宋简体" w:eastAsia="方正书宋简体" w:cs="方正书宋简体"/>
          <w:color w:val="auto"/>
          <w:sz w:val="21"/>
          <w:szCs w:val="21"/>
        </w:rPr>
        <w:t>年</w:t>
      </w:r>
      <w:r>
        <w:rPr>
          <w:rFonts w:hint="eastAsia" w:ascii="方正书宋简体" w:hAnsi="方正书宋简体" w:eastAsia="方正书宋简体" w:cs="方正书宋简体"/>
          <w:color w:val="auto"/>
          <w:sz w:val="21"/>
          <w:szCs w:val="21"/>
          <w:lang w:val="en-US" w:eastAsia="zh-CN"/>
        </w:rPr>
        <w:t>1</w:t>
      </w:r>
      <w:r>
        <w:rPr>
          <w:rFonts w:hint="eastAsia" w:ascii="方正书宋简体" w:hAnsi="方正书宋简体" w:eastAsia="方正书宋简体" w:cs="方正书宋简体"/>
          <w:color w:val="auto"/>
          <w:sz w:val="21"/>
          <w:szCs w:val="21"/>
        </w:rPr>
        <w:t>月起</w:t>
      </w:r>
      <w:r>
        <w:rPr>
          <w:rFonts w:hint="eastAsia" w:ascii="方正书宋简体" w:hAnsi="方正书宋简体" w:eastAsia="方正书宋简体" w:cs="方正书宋简体"/>
          <w:color w:val="auto"/>
          <w:sz w:val="21"/>
          <w:szCs w:val="21"/>
          <w:lang w:val="en-US" w:eastAsia="zh-CN"/>
        </w:rPr>
        <w:t>施</w:t>
      </w:r>
      <w:r>
        <w:rPr>
          <w:rFonts w:hint="eastAsia" w:ascii="方正书宋简体" w:hAnsi="方正书宋简体" w:eastAsia="方正书宋简体" w:cs="方正书宋简体"/>
          <w:color w:val="auto"/>
          <w:sz w:val="21"/>
          <w:szCs w:val="21"/>
        </w:rPr>
        <w:t>行。</w:t>
      </w:r>
    </w:p>
    <w:p w14:paraId="3725AE2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color w:val="auto"/>
          <w:sz w:val="21"/>
          <w:szCs w:val="21"/>
        </w:rPr>
      </w:pPr>
      <w:r>
        <w:rPr>
          <w:rFonts w:hint="eastAsia" w:ascii="方正书宋简体" w:hAnsi="方正书宋简体" w:eastAsia="方正书宋简体" w:cs="方正书宋简体"/>
          <w:b/>
          <w:bCs/>
          <w:color w:val="auto"/>
          <w:sz w:val="21"/>
          <w:szCs w:val="21"/>
        </w:rPr>
        <w:t>第二十三条</w:t>
      </w:r>
      <w:r>
        <w:rPr>
          <w:rFonts w:hint="eastAsia" w:ascii="方正书宋简体" w:hAnsi="方正书宋简体" w:eastAsia="方正书宋简体" w:cs="方正书宋简体"/>
          <w:b/>
          <w:bCs/>
          <w:color w:val="auto"/>
          <w:sz w:val="21"/>
          <w:szCs w:val="21"/>
          <w:lang w:val="en-US" w:eastAsia="zh-CN"/>
        </w:rPr>
        <w:t xml:space="preserve"> </w:t>
      </w:r>
      <w:r>
        <w:rPr>
          <w:rFonts w:hint="eastAsia" w:ascii="方正书宋简体" w:hAnsi="方正书宋简体" w:eastAsia="方正书宋简体" w:cs="方正书宋简体"/>
          <w:color w:val="auto"/>
          <w:sz w:val="21"/>
          <w:szCs w:val="21"/>
        </w:rPr>
        <w:t xml:space="preserve"> 本办法由学校学生资助管理中心负责解释。</w:t>
      </w:r>
    </w:p>
    <w:p w14:paraId="109A2C8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b w:val="0"/>
          <w:bCs/>
          <w:sz w:val="21"/>
          <w:szCs w:val="21"/>
          <w:lang w:val="en-US" w:eastAsia="zh-CN"/>
        </w:rPr>
      </w:pPr>
      <w:r>
        <w:rPr>
          <w:rFonts w:hint="eastAsia" w:ascii="方正书宋简体" w:hAnsi="方正书宋简体" w:eastAsia="方正书宋简体" w:cs="方正书宋简体"/>
          <w:b w:val="0"/>
          <w:bCs/>
          <w:sz w:val="21"/>
          <w:szCs w:val="21"/>
          <w:lang w:val="en-US" w:eastAsia="zh-CN"/>
        </w:rPr>
        <w:br w:type="page"/>
      </w:r>
    </w:p>
    <w:p w14:paraId="1DC45788">
      <w:pPr>
        <w:pStyle w:val="2"/>
        <w:rPr>
          <w:rFonts w:hint="eastAsia"/>
        </w:rPr>
      </w:pPr>
      <w:bookmarkStart w:id="193" w:name="_Toc27387"/>
      <w:bookmarkStart w:id="194" w:name="_Toc20639"/>
      <w:bookmarkStart w:id="195" w:name="_Toc1220"/>
      <w:bookmarkStart w:id="196" w:name="_Toc4667"/>
      <w:bookmarkStart w:id="197" w:name="_Toc12451"/>
      <w:bookmarkStart w:id="198" w:name="_Toc9580"/>
      <w:bookmarkStart w:id="199" w:name="_Toc24473"/>
      <w:bookmarkStart w:id="200" w:name="_Toc32401"/>
      <w:r>
        <w:rPr>
          <w:rFonts w:hint="eastAsia"/>
        </w:rPr>
        <w:t>安徽电气工程职业技术学院</w:t>
      </w:r>
      <w:bookmarkEnd w:id="193"/>
      <w:bookmarkEnd w:id="194"/>
      <w:bookmarkEnd w:id="195"/>
      <w:bookmarkEnd w:id="196"/>
      <w:bookmarkEnd w:id="197"/>
      <w:bookmarkEnd w:id="198"/>
      <w:bookmarkEnd w:id="199"/>
      <w:bookmarkEnd w:id="200"/>
      <w:bookmarkStart w:id="201" w:name="安徽电气工程职业技术学院优秀学生奖学金评定办法"/>
    </w:p>
    <w:p w14:paraId="4BEB3EB2">
      <w:pPr>
        <w:pStyle w:val="2"/>
        <w:rPr>
          <w:rFonts w:hint="eastAsia"/>
        </w:rPr>
      </w:pPr>
      <w:bookmarkStart w:id="202" w:name="_Toc2244"/>
      <w:bookmarkStart w:id="203" w:name="_Toc25164"/>
      <w:bookmarkStart w:id="204" w:name="_Toc18846"/>
      <w:bookmarkStart w:id="205" w:name="_Toc27848"/>
      <w:bookmarkStart w:id="206" w:name="_Toc24115"/>
      <w:bookmarkStart w:id="207" w:name="_Toc15969"/>
      <w:bookmarkStart w:id="208" w:name="_Toc26274"/>
      <w:bookmarkStart w:id="209" w:name="_Toc23103"/>
      <w:r>
        <w:rPr>
          <w:rFonts w:hint="eastAsia"/>
        </w:rPr>
        <w:t>优秀学生奖学金评审办法</w:t>
      </w:r>
      <w:bookmarkEnd w:id="201"/>
      <w:bookmarkEnd w:id="202"/>
      <w:bookmarkEnd w:id="203"/>
      <w:bookmarkEnd w:id="204"/>
      <w:bookmarkEnd w:id="205"/>
      <w:bookmarkEnd w:id="206"/>
      <w:bookmarkEnd w:id="207"/>
      <w:bookmarkEnd w:id="208"/>
      <w:bookmarkEnd w:id="209"/>
    </w:p>
    <w:p w14:paraId="53E97CCC">
      <w:pPr>
        <w:pageBreakBefore w:val="0"/>
        <w:overflowPunct/>
        <w:topLinePunct w:val="0"/>
        <w:bidi w:val="0"/>
        <w:spacing w:line="400" w:lineRule="exact"/>
        <w:ind w:left="0" w:leftChars="0" w:right="0" w:firstLine="420" w:firstLineChars="200"/>
        <w:rPr>
          <w:rFonts w:hint="eastAsia" w:ascii="方正书宋简体" w:hAnsi="方正书宋简体" w:eastAsia="方正书宋简体" w:cs="方正书宋简体"/>
          <w:sz w:val="21"/>
          <w:szCs w:val="21"/>
        </w:rPr>
      </w:pPr>
    </w:p>
    <w:p w14:paraId="6D90477A">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sz w:val="21"/>
          <w:szCs w:val="21"/>
        </w:rPr>
        <w:t>为鼓励学生勤奋学习，刻苦钻研科学文化知识，促进学生德、智、体、能全面发展，培养合格人才，学院设立“安徽电气工程职</w:t>
      </w:r>
      <w:r>
        <w:rPr>
          <w:rFonts w:hint="eastAsia" w:ascii="方正书宋简体" w:hAnsi="方正书宋简体" w:eastAsia="方正书宋简体" w:cs="方正书宋简体"/>
          <w:color w:val="000000" w:themeColor="text1"/>
          <w:sz w:val="21"/>
          <w:szCs w:val="21"/>
          <w14:textFill>
            <w14:solidFill>
              <w14:schemeClr w14:val="tx1"/>
            </w14:solidFill>
          </w14:textFill>
        </w:rPr>
        <w:t>业技术学院优秀学生奖学金”。具体实施办法如下：</w:t>
      </w:r>
    </w:p>
    <w:p w14:paraId="10F987FD">
      <w:pPr>
        <w:pageBreakBefore w:val="0"/>
        <w:overflowPunct/>
        <w:topLinePunct w:val="0"/>
        <w:bidi w:val="0"/>
        <w:adjustRightInd w:val="0"/>
        <w:snapToGrid w:val="0"/>
        <w:spacing w:line="400" w:lineRule="exact"/>
        <w:ind w:left="0" w:leftChars="0" w:right="0" w:firstLine="422" w:firstLineChars="200"/>
        <w:outlineLvl w:val="0"/>
        <w:rPr>
          <w:rFonts w:hint="eastAsia" w:ascii="方正书宋简体" w:hAnsi="方正书宋简体" w:eastAsia="方正书宋简体" w:cs="方正书宋简体"/>
          <w:b/>
          <w:color w:val="000000" w:themeColor="text1"/>
          <w:sz w:val="21"/>
          <w:szCs w:val="21"/>
          <w14:textFill>
            <w14:solidFill>
              <w14:schemeClr w14:val="tx1"/>
            </w14:solidFill>
          </w14:textFill>
        </w:rPr>
      </w:pPr>
      <w:bookmarkStart w:id="210" w:name="_Toc5129"/>
      <w:bookmarkStart w:id="211" w:name="_Toc6652"/>
      <w:bookmarkStart w:id="212" w:name="_Toc31818"/>
      <w:bookmarkStart w:id="213" w:name="_Toc8747"/>
      <w:bookmarkStart w:id="214" w:name="_Toc12269"/>
      <w:bookmarkStart w:id="215" w:name="_Toc23419"/>
      <w:bookmarkStart w:id="216" w:name="_Toc23293"/>
      <w:bookmarkStart w:id="217" w:name="_Toc2734"/>
      <w:bookmarkStart w:id="218" w:name="_Toc28665"/>
      <w:r>
        <w:rPr>
          <w:rFonts w:hint="eastAsia" w:ascii="方正书宋简体" w:hAnsi="方正书宋简体" w:eastAsia="方正书宋简体" w:cs="方正书宋简体"/>
          <w:b/>
          <w:color w:val="000000" w:themeColor="text1"/>
          <w:sz w:val="21"/>
          <w:szCs w:val="21"/>
          <w14:textFill>
            <w14:solidFill>
              <w14:schemeClr w14:val="tx1"/>
            </w14:solidFill>
          </w14:textFill>
        </w:rPr>
        <w:t>一、评选对象</w:t>
      </w:r>
      <w:bookmarkEnd w:id="210"/>
      <w:bookmarkEnd w:id="211"/>
      <w:bookmarkEnd w:id="212"/>
      <w:bookmarkEnd w:id="213"/>
      <w:bookmarkEnd w:id="214"/>
      <w:bookmarkEnd w:id="215"/>
      <w:bookmarkEnd w:id="216"/>
      <w:bookmarkEnd w:id="217"/>
      <w:bookmarkEnd w:id="218"/>
    </w:p>
    <w:p w14:paraId="05372D64">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安徽电气工程职业技术学院全日制二、三年级在校学生。</w:t>
      </w:r>
    </w:p>
    <w:p w14:paraId="2ED7A52D">
      <w:pPr>
        <w:pageBreakBefore w:val="0"/>
        <w:overflowPunct/>
        <w:topLinePunct w:val="0"/>
        <w:bidi w:val="0"/>
        <w:adjustRightInd w:val="0"/>
        <w:snapToGrid w:val="0"/>
        <w:spacing w:line="400" w:lineRule="exact"/>
        <w:ind w:left="0" w:leftChars="0" w:right="0" w:firstLine="422" w:firstLineChars="200"/>
        <w:outlineLvl w:val="0"/>
        <w:rPr>
          <w:rFonts w:hint="eastAsia" w:ascii="方正书宋简体" w:hAnsi="方正书宋简体" w:eastAsia="方正书宋简体" w:cs="方正书宋简体"/>
          <w:b/>
          <w:color w:val="000000" w:themeColor="text1"/>
          <w:sz w:val="21"/>
          <w:szCs w:val="21"/>
          <w14:textFill>
            <w14:solidFill>
              <w14:schemeClr w14:val="tx1"/>
            </w14:solidFill>
          </w14:textFill>
        </w:rPr>
      </w:pPr>
      <w:bookmarkStart w:id="219" w:name="_Toc26766"/>
      <w:bookmarkStart w:id="220" w:name="_Toc23220"/>
      <w:bookmarkStart w:id="221" w:name="_Toc10567"/>
      <w:bookmarkStart w:id="222" w:name="_Toc3222"/>
      <w:bookmarkStart w:id="223" w:name="_Toc17929"/>
      <w:bookmarkStart w:id="224" w:name="_Toc27503"/>
      <w:bookmarkStart w:id="225" w:name="_Toc23607"/>
      <w:bookmarkStart w:id="226" w:name="_Toc19533"/>
      <w:bookmarkStart w:id="227" w:name="_Toc18110"/>
      <w:r>
        <w:rPr>
          <w:rFonts w:hint="eastAsia" w:ascii="方正书宋简体" w:hAnsi="方正书宋简体" w:eastAsia="方正书宋简体" w:cs="方正书宋简体"/>
          <w:b/>
          <w:color w:val="000000" w:themeColor="text1"/>
          <w:sz w:val="21"/>
          <w:szCs w:val="21"/>
          <w14:textFill>
            <w14:solidFill>
              <w14:schemeClr w14:val="tx1"/>
            </w14:solidFill>
          </w14:textFill>
        </w:rPr>
        <w:t>二、评选等级、金额和比例</w:t>
      </w:r>
      <w:bookmarkEnd w:id="219"/>
      <w:bookmarkEnd w:id="220"/>
      <w:bookmarkEnd w:id="221"/>
      <w:bookmarkEnd w:id="222"/>
      <w:bookmarkEnd w:id="223"/>
      <w:bookmarkEnd w:id="224"/>
      <w:bookmarkEnd w:id="225"/>
      <w:bookmarkEnd w:id="226"/>
      <w:bookmarkEnd w:id="227"/>
    </w:p>
    <w:p w14:paraId="01D27554">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优秀学生奖学金分为一等、二等、三等三个等级</w:t>
      </w:r>
      <w:r>
        <w:rPr>
          <w:rFonts w:hint="eastAsia" w:ascii="方正书宋简体" w:hAnsi="方正书宋简体" w:eastAsia="方正书宋简体" w:cs="方正书宋简体"/>
          <w:color w:val="000000" w:themeColor="text1"/>
          <w:sz w:val="21"/>
          <w:szCs w:val="21"/>
          <w:lang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奖学金金额分别为1000元、600元、300元，奖学金每学年评定一次，享受奖学金学生人数比例为参评学生总数的30％（其中享受面分别为一等3%、二等9%、三等18%）。</w:t>
      </w:r>
    </w:p>
    <w:p w14:paraId="3C9718D6">
      <w:pPr>
        <w:pageBreakBefore w:val="0"/>
        <w:overflowPunct/>
        <w:topLinePunct w:val="0"/>
        <w:bidi w:val="0"/>
        <w:adjustRightInd w:val="0"/>
        <w:snapToGrid w:val="0"/>
        <w:spacing w:line="400" w:lineRule="exact"/>
        <w:ind w:left="0" w:leftChars="0" w:right="0" w:firstLine="422" w:firstLineChars="200"/>
        <w:outlineLvl w:val="0"/>
        <w:rPr>
          <w:rFonts w:hint="eastAsia" w:ascii="方正书宋简体" w:hAnsi="方正书宋简体" w:eastAsia="方正书宋简体" w:cs="方正书宋简体"/>
          <w:b/>
          <w:color w:val="000000" w:themeColor="text1"/>
          <w:sz w:val="21"/>
          <w:szCs w:val="21"/>
          <w14:textFill>
            <w14:solidFill>
              <w14:schemeClr w14:val="tx1"/>
            </w14:solidFill>
          </w14:textFill>
        </w:rPr>
      </w:pPr>
      <w:bookmarkStart w:id="228" w:name="_Toc3790"/>
      <w:bookmarkStart w:id="229" w:name="_Toc17530"/>
      <w:bookmarkStart w:id="230" w:name="_Toc2695"/>
      <w:bookmarkStart w:id="231" w:name="_Toc209"/>
      <w:bookmarkStart w:id="232" w:name="_Toc27259"/>
      <w:bookmarkStart w:id="233" w:name="_Toc28239"/>
      <w:bookmarkStart w:id="234" w:name="_Toc32032"/>
      <w:bookmarkStart w:id="235" w:name="_Toc12412"/>
      <w:bookmarkStart w:id="236" w:name="_Toc8185"/>
      <w:r>
        <w:rPr>
          <w:rFonts w:hint="eastAsia" w:ascii="方正书宋简体" w:hAnsi="方正书宋简体" w:eastAsia="方正书宋简体" w:cs="方正书宋简体"/>
          <w:b/>
          <w:color w:val="000000" w:themeColor="text1"/>
          <w:sz w:val="21"/>
          <w:szCs w:val="21"/>
          <w14:textFill>
            <w14:solidFill>
              <w14:schemeClr w14:val="tx1"/>
            </w14:solidFill>
          </w14:textFill>
        </w:rPr>
        <w:t>三、评定条件</w:t>
      </w:r>
      <w:bookmarkEnd w:id="228"/>
      <w:bookmarkEnd w:id="229"/>
      <w:bookmarkEnd w:id="230"/>
      <w:bookmarkEnd w:id="231"/>
      <w:bookmarkEnd w:id="232"/>
      <w:bookmarkEnd w:id="233"/>
      <w:bookmarkEnd w:id="234"/>
      <w:bookmarkEnd w:id="235"/>
      <w:bookmarkEnd w:id="236"/>
    </w:p>
    <w:p w14:paraId="18F24604">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优秀学生奖学金评定，应坚持“德、智、体、能”全面发展的原则，具体条件如下：</w:t>
      </w:r>
    </w:p>
    <w:p w14:paraId="633B3F99">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1</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德育方面：热爱社会主义祖国，拥护中国共产党的领导，道德品质优良，日常行为规范，遵纪守法，团结友善，积极参加集体活动；</w:t>
      </w:r>
    </w:p>
    <w:p w14:paraId="337368D2">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2</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智育方面：热爱专业，学习努力，态度端正，能圆满完成规定的学习任务，成绩优良（必修、选修课程均无不及格现象），学年两个学期平均学分绩点</w:t>
      </w:r>
      <w:r>
        <w:rPr>
          <w:rFonts w:hint="eastAsia" w:ascii="方正书宋简体" w:hAnsi="方正书宋简体" w:eastAsia="方正书宋简体" w:cs="方正书宋简体"/>
          <w:color w:val="000000" w:themeColor="text1"/>
          <w:sz w:val="21"/>
          <w:szCs w:val="21"/>
          <w:lang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加权平均成绩）</w:t>
      </w:r>
      <w:r>
        <w:rPr>
          <w:rFonts w:hint="eastAsia" w:ascii="方正书宋简体" w:hAnsi="方正书宋简体" w:eastAsia="方正书宋简体" w:cs="方正书宋简体"/>
          <w:color w:val="000000" w:themeColor="text1"/>
          <w:sz w:val="21"/>
          <w:szCs w:val="21"/>
          <w14:textFill>
            <w14:solidFill>
              <w14:schemeClr w14:val="tx1"/>
            </w14:solidFill>
          </w14:textFill>
        </w:rPr>
        <w:t>不低于全班平均分；</w:t>
      </w:r>
    </w:p>
    <w:p w14:paraId="2AEC3B70">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3</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体育方面：坚持体育锻炼，上好体育课，积极参加早操和各项体育竞赛活动，身心健康；《国家学生体质健康标准》测试达标（或因病、残疾提交申请并被核准后免予执行《标准》者）；</w:t>
      </w:r>
    </w:p>
    <w:p w14:paraId="2C10BD4B">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4</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pacing w:val="-6"/>
          <w:sz w:val="21"/>
          <w:szCs w:val="21"/>
          <w14:textFill>
            <w14:solidFill>
              <w14:schemeClr w14:val="tx1"/>
            </w14:solidFill>
          </w14:textFill>
        </w:rPr>
        <w:t>能力方面：积极参加社会实践，参加课外文化、科技、创新活动，参与社会工作（学团、社团活动）并做出突出成绩。</w:t>
      </w:r>
      <w:r>
        <w:rPr>
          <w:rFonts w:hint="eastAsia" w:ascii="方正书宋简体" w:hAnsi="方正书宋简体" w:eastAsia="方正书宋简体" w:cs="方正书宋简体"/>
          <w:color w:val="000000" w:themeColor="text1"/>
          <w:sz w:val="21"/>
          <w:szCs w:val="21"/>
          <w14:textFill>
            <w14:solidFill>
              <w14:schemeClr w14:val="tx1"/>
            </w14:solidFill>
          </w14:textFill>
        </w:rPr>
        <w:t>学年两个学期的素质考核认证平均成绩位于全班前50%。</w:t>
      </w:r>
    </w:p>
    <w:p w14:paraId="1CE08262">
      <w:pPr>
        <w:pageBreakBefore w:val="0"/>
        <w:overflowPunct/>
        <w:topLinePunct w:val="0"/>
        <w:bidi w:val="0"/>
        <w:adjustRightInd w:val="0"/>
        <w:snapToGrid w:val="0"/>
        <w:spacing w:line="400" w:lineRule="exact"/>
        <w:ind w:left="0" w:leftChars="0" w:right="0" w:firstLine="422" w:firstLineChars="200"/>
        <w:outlineLvl w:val="0"/>
        <w:rPr>
          <w:rFonts w:hint="eastAsia" w:ascii="方正书宋简体" w:hAnsi="方正书宋简体" w:eastAsia="方正书宋简体" w:cs="方正书宋简体"/>
          <w:b/>
          <w:color w:val="000000" w:themeColor="text1"/>
          <w:sz w:val="21"/>
          <w:szCs w:val="21"/>
          <w14:textFill>
            <w14:solidFill>
              <w14:schemeClr w14:val="tx1"/>
            </w14:solidFill>
          </w14:textFill>
        </w:rPr>
      </w:pPr>
      <w:bookmarkStart w:id="237" w:name="_Toc5596"/>
      <w:bookmarkStart w:id="238" w:name="_Toc15729"/>
      <w:bookmarkStart w:id="239" w:name="_Toc9780"/>
      <w:bookmarkStart w:id="240" w:name="_Toc1127"/>
      <w:bookmarkStart w:id="241" w:name="_Toc32195"/>
      <w:bookmarkStart w:id="242" w:name="_Toc21477"/>
      <w:bookmarkStart w:id="243" w:name="_Toc20064"/>
      <w:bookmarkStart w:id="244" w:name="_Toc15726"/>
      <w:bookmarkStart w:id="245" w:name="_Toc1087"/>
      <w:r>
        <w:rPr>
          <w:rFonts w:hint="eastAsia" w:ascii="方正书宋简体" w:hAnsi="方正书宋简体" w:eastAsia="方正书宋简体" w:cs="方正书宋简体"/>
          <w:b/>
          <w:color w:val="000000" w:themeColor="text1"/>
          <w:sz w:val="21"/>
          <w:szCs w:val="21"/>
          <w14:textFill>
            <w14:solidFill>
              <w14:schemeClr w14:val="tx1"/>
            </w14:solidFill>
          </w14:textFill>
        </w:rPr>
        <w:t>四、有下列情况之一者，不得获得学校优秀学生奖学金</w:t>
      </w:r>
      <w:bookmarkEnd w:id="237"/>
      <w:bookmarkEnd w:id="238"/>
      <w:bookmarkEnd w:id="239"/>
      <w:bookmarkEnd w:id="240"/>
      <w:bookmarkEnd w:id="241"/>
      <w:bookmarkEnd w:id="242"/>
      <w:bookmarkEnd w:id="243"/>
      <w:bookmarkEnd w:id="244"/>
      <w:bookmarkEnd w:id="245"/>
    </w:p>
    <w:p w14:paraId="6CDFEA7C">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1</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违反校规校纪，受到通报批评或纪律处分，尚未解除者；</w:t>
      </w:r>
    </w:p>
    <w:p w14:paraId="234BAED6">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2</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无故不参加院、系组织的集体活动者；</w:t>
      </w:r>
    </w:p>
    <w:p w14:paraId="1DD83BEA">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3</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有旷课（迟到或早退三次按旷课一次处理）现象者；</w:t>
      </w:r>
    </w:p>
    <w:p w14:paraId="4C912494">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4</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 xml:space="preserve">本学年内所修课程有一门及以上不及格者； </w:t>
      </w:r>
    </w:p>
    <w:p w14:paraId="365620B7">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color w:val="000000" w:themeColor="text1"/>
          <w:sz w:val="21"/>
          <w:szCs w:val="21"/>
          <w14:textFill>
            <w14:solidFill>
              <w14:schemeClr w14:val="tx1"/>
            </w14:solidFill>
          </w14:textFill>
        </w:rPr>
      </w:pPr>
      <w:r>
        <w:rPr>
          <w:rFonts w:hint="eastAsia" w:ascii="方正书宋简体" w:hAnsi="方正书宋简体" w:eastAsia="方正书宋简体" w:cs="方正书宋简体"/>
          <w:color w:val="000000" w:themeColor="text1"/>
          <w:sz w:val="21"/>
          <w:szCs w:val="21"/>
          <w14:textFill>
            <w14:solidFill>
              <w14:schemeClr w14:val="tx1"/>
            </w14:solidFill>
          </w14:textFill>
        </w:rPr>
        <w:t>5</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w:t>
      </w:r>
      <w:r>
        <w:rPr>
          <w:rFonts w:hint="eastAsia" w:ascii="方正书宋简体" w:hAnsi="方正书宋简体" w:eastAsia="方正书宋简体" w:cs="方正书宋简体"/>
          <w:color w:val="000000" w:themeColor="text1"/>
          <w:sz w:val="21"/>
          <w:szCs w:val="21"/>
          <w14:textFill>
            <w14:solidFill>
              <w14:schemeClr w14:val="tx1"/>
            </w14:solidFill>
          </w14:textFill>
        </w:rPr>
        <w:t>有违反</w:t>
      </w:r>
      <w:r>
        <w:rPr>
          <w:rFonts w:hint="eastAsia" w:ascii="方正书宋简体" w:hAnsi="方正书宋简体" w:eastAsia="方正书宋简体" w:cs="方正书宋简体"/>
          <w:color w:val="000000" w:themeColor="text1"/>
          <w:sz w:val="21"/>
          <w:szCs w:val="21"/>
          <w:lang w:val="en-US" w:eastAsia="zh-CN"/>
          <w14:textFill>
            <w14:solidFill>
              <w14:schemeClr w14:val="tx1"/>
            </w14:solidFill>
          </w14:textFill>
        </w:rPr>
        <w:t>学生宿舍管理办法中相关规定</w:t>
      </w:r>
      <w:r>
        <w:rPr>
          <w:rFonts w:hint="eastAsia" w:ascii="方正书宋简体" w:hAnsi="方正书宋简体" w:eastAsia="方正书宋简体" w:cs="方正书宋简体"/>
          <w:color w:val="000000" w:themeColor="text1"/>
          <w:sz w:val="21"/>
          <w:szCs w:val="21"/>
          <w14:textFill>
            <w14:solidFill>
              <w14:schemeClr w14:val="tx1"/>
            </w14:solidFill>
          </w14:textFill>
        </w:rPr>
        <w:t>者。</w:t>
      </w:r>
    </w:p>
    <w:p w14:paraId="61800BEA">
      <w:pPr>
        <w:pageBreakBefore w:val="0"/>
        <w:overflowPunct/>
        <w:topLinePunct w:val="0"/>
        <w:bidi w:val="0"/>
        <w:adjustRightInd w:val="0"/>
        <w:snapToGrid w:val="0"/>
        <w:spacing w:line="400" w:lineRule="exact"/>
        <w:ind w:left="0" w:leftChars="0" w:right="0" w:firstLine="422" w:firstLineChars="200"/>
        <w:outlineLvl w:val="0"/>
        <w:rPr>
          <w:rFonts w:hint="eastAsia" w:ascii="方正书宋简体" w:hAnsi="方正书宋简体" w:eastAsia="方正书宋简体" w:cs="方正书宋简体"/>
          <w:b/>
          <w:color w:val="000000" w:themeColor="text1"/>
          <w:sz w:val="21"/>
          <w:szCs w:val="21"/>
          <w14:textFill>
            <w14:solidFill>
              <w14:schemeClr w14:val="tx1"/>
            </w14:solidFill>
          </w14:textFill>
        </w:rPr>
      </w:pPr>
      <w:bookmarkStart w:id="246" w:name="_Toc1097"/>
      <w:bookmarkStart w:id="247" w:name="_Toc24662"/>
      <w:bookmarkStart w:id="248" w:name="_Toc20994"/>
      <w:bookmarkStart w:id="249" w:name="_Toc9284"/>
      <w:bookmarkStart w:id="250" w:name="_Toc15199"/>
      <w:bookmarkStart w:id="251" w:name="_Toc6186"/>
      <w:bookmarkStart w:id="252" w:name="_Toc14745"/>
      <w:bookmarkStart w:id="253" w:name="_Toc31796"/>
      <w:bookmarkStart w:id="254" w:name="_Toc25659"/>
      <w:r>
        <w:rPr>
          <w:rFonts w:hint="eastAsia" w:ascii="方正书宋简体" w:hAnsi="方正书宋简体" w:eastAsia="方正书宋简体" w:cs="方正书宋简体"/>
          <w:b/>
          <w:color w:val="000000" w:themeColor="text1"/>
          <w:sz w:val="21"/>
          <w:szCs w:val="21"/>
          <w14:textFill>
            <w14:solidFill>
              <w14:schemeClr w14:val="tx1"/>
            </w14:solidFill>
          </w14:textFill>
        </w:rPr>
        <w:t>五、评定程序</w:t>
      </w:r>
      <w:bookmarkEnd w:id="246"/>
      <w:bookmarkEnd w:id="247"/>
      <w:bookmarkEnd w:id="248"/>
      <w:bookmarkEnd w:id="249"/>
      <w:bookmarkEnd w:id="250"/>
      <w:bookmarkEnd w:id="251"/>
      <w:bookmarkEnd w:id="252"/>
      <w:bookmarkEnd w:id="253"/>
      <w:bookmarkEnd w:id="254"/>
    </w:p>
    <w:p w14:paraId="694EDB00">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个人申请：学生本人对照奖学金评选条件，提出书面申请，如实介绍自己德、智、体、能各方面的情况；</w:t>
      </w:r>
    </w:p>
    <w:p w14:paraId="2D57C3E6">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pacing w:val="-2"/>
          <w:sz w:val="21"/>
          <w:szCs w:val="21"/>
        </w:rPr>
      </w:pPr>
      <w:r>
        <w:rPr>
          <w:rFonts w:hint="eastAsia" w:ascii="方正书宋简体" w:hAnsi="方正书宋简体" w:eastAsia="方正书宋简体" w:cs="方正书宋简体"/>
          <w:sz w:val="21"/>
          <w:szCs w:val="21"/>
        </w:rPr>
        <w:t>2</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pacing w:val="-2"/>
          <w:sz w:val="21"/>
          <w:szCs w:val="21"/>
        </w:rPr>
        <w:t>班级评议：班委会在辅导员的具体指导下，对提出奖学金申请的学生进行评议，根据评定条件、规定的比例，以学生学年平均学分绩点为序，结合平时表现，初步研究确定获奖学金学生名单、等级，报系部审查；</w:t>
      </w:r>
    </w:p>
    <w:p w14:paraId="612254A7">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3</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系部审查：各系汇总各班级奖学金初评结果，严格执行条件，不突破比例，认真把关，审查后报学生处；</w:t>
      </w:r>
    </w:p>
    <w:p w14:paraId="0DE3057B">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学生处审核：学生处对各系上报的学生奖学金评定结果进行审核，并公示</w:t>
      </w:r>
      <w:r>
        <w:rPr>
          <w:rFonts w:hint="eastAsia" w:ascii="方正书宋简体" w:hAnsi="方正书宋简体" w:eastAsia="方正书宋简体" w:cs="方正书宋简体"/>
          <w:color w:val="auto"/>
          <w:sz w:val="21"/>
          <w:szCs w:val="21"/>
        </w:rPr>
        <w:t>5个工作日，</w:t>
      </w:r>
      <w:r>
        <w:rPr>
          <w:rFonts w:hint="eastAsia" w:ascii="方正书宋简体" w:hAnsi="方正书宋简体" w:eastAsia="方正书宋简体" w:cs="方正书宋简体"/>
          <w:sz w:val="21"/>
          <w:szCs w:val="21"/>
        </w:rPr>
        <w:t>公示无异议后，报学生奖学金和表彰奖励评审委员会研究审批，由学院办公室发文表彰，学生处、财务处负责办理奖学金发放工作；</w:t>
      </w:r>
    </w:p>
    <w:p w14:paraId="04A31397">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5</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学院向优秀学生奖学金获得者颁发荣誉证书。</w:t>
      </w:r>
    </w:p>
    <w:p w14:paraId="538AF0A3">
      <w:pPr>
        <w:pageBreakBefore w:val="0"/>
        <w:overflowPunct/>
        <w:topLinePunct w:val="0"/>
        <w:bidi w:val="0"/>
        <w:adjustRightInd w:val="0"/>
        <w:snapToGrid w:val="0"/>
        <w:spacing w:line="400" w:lineRule="exact"/>
        <w:ind w:left="0" w:leftChars="0" w:right="0" w:firstLine="422" w:firstLineChars="200"/>
        <w:outlineLvl w:val="0"/>
        <w:rPr>
          <w:rFonts w:hint="eastAsia" w:ascii="方正书宋简体" w:hAnsi="方正书宋简体" w:eastAsia="方正书宋简体" w:cs="方正书宋简体"/>
          <w:b/>
          <w:sz w:val="21"/>
          <w:szCs w:val="21"/>
        </w:rPr>
      </w:pPr>
      <w:bookmarkStart w:id="255" w:name="_Toc18616"/>
      <w:bookmarkStart w:id="256" w:name="_Toc19716"/>
      <w:bookmarkStart w:id="257" w:name="_Toc3472"/>
      <w:bookmarkStart w:id="258" w:name="_Toc25696"/>
      <w:bookmarkStart w:id="259" w:name="_Toc20424"/>
      <w:bookmarkStart w:id="260" w:name="_Toc1531"/>
      <w:bookmarkStart w:id="261" w:name="_Toc9916"/>
      <w:bookmarkStart w:id="262" w:name="_Toc21020"/>
      <w:bookmarkStart w:id="263" w:name="_Toc29328"/>
      <w:r>
        <w:rPr>
          <w:rFonts w:hint="eastAsia" w:ascii="方正书宋简体" w:hAnsi="方正书宋简体" w:eastAsia="方正书宋简体" w:cs="方正书宋简体"/>
          <w:b/>
          <w:sz w:val="21"/>
          <w:szCs w:val="21"/>
        </w:rPr>
        <w:t>六、其它</w:t>
      </w:r>
      <w:bookmarkEnd w:id="255"/>
      <w:bookmarkEnd w:id="256"/>
      <w:bookmarkEnd w:id="257"/>
      <w:bookmarkEnd w:id="258"/>
      <w:bookmarkEnd w:id="259"/>
      <w:bookmarkEnd w:id="260"/>
      <w:bookmarkEnd w:id="261"/>
      <w:bookmarkEnd w:id="262"/>
      <w:bookmarkEnd w:id="263"/>
    </w:p>
    <w:p w14:paraId="23C0851E">
      <w:pPr>
        <w:pageBreakBefore w:val="0"/>
        <w:overflowPunct/>
        <w:topLinePunct w:val="0"/>
        <w:bidi w:val="0"/>
        <w:adjustRightInd w:val="0"/>
        <w:snapToGrid w:val="0"/>
        <w:spacing w:line="400" w:lineRule="exact"/>
        <w:ind w:left="0" w:leftChars="0" w:right="0" w:firstLine="420" w:firstLineChars="200"/>
        <w:rPr>
          <w:rFonts w:hint="eastAsia" w:ascii="方正书宋简体" w:hAnsi="方正书宋简体" w:eastAsia="方正书宋简体" w:cs="方正书宋简体"/>
          <w:b/>
          <w:sz w:val="21"/>
          <w:szCs w:val="21"/>
        </w:rPr>
      </w:pPr>
      <w:r>
        <w:rPr>
          <w:rFonts w:hint="eastAsia" w:ascii="方正书宋简体" w:hAnsi="方正书宋简体" w:eastAsia="方正书宋简体" w:cs="方正书宋简体"/>
          <w:sz w:val="21"/>
          <w:szCs w:val="21"/>
        </w:rPr>
        <w:t>本办法从20</w:t>
      </w:r>
      <w:r>
        <w:rPr>
          <w:rFonts w:hint="eastAsia" w:ascii="方正书宋简体" w:hAnsi="方正书宋简体" w:eastAsia="方正书宋简体" w:cs="方正书宋简体"/>
          <w:sz w:val="21"/>
          <w:szCs w:val="21"/>
          <w:lang w:val="en-US" w:eastAsia="zh-CN"/>
        </w:rPr>
        <w:t>24</w:t>
      </w:r>
      <w:r>
        <w:rPr>
          <w:rFonts w:hint="eastAsia" w:ascii="方正书宋简体" w:hAnsi="方正书宋简体" w:eastAsia="方正书宋简体" w:cs="方正书宋简体"/>
          <w:sz w:val="21"/>
          <w:szCs w:val="21"/>
        </w:rPr>
        <w:t>年</w:t>
      </w:r>
      <w:r>
        <w:rPr>
          <w:rFonts w:hint="eastAsia" w:ascii="方正书宋简体" w:hAnsi="方正书宋简体" w:eastAsia="方正书宋简体" w:cs="方正书宋简体"/>
          <w:sz w:val="21"/>
          <w:szCs w:val="21"/>
          <w:lang w:val="en-US" w:eastAsia="zh-CN"/>
        </w:rPr>
        <w:t>1</w:t>
      </w:r>
      <w:r>
        <w:rPr>
          <w:rFonts w:hint="eastAsia" w:ascii="方正书宋简体" w:hAnsi="方正书宋简体" w:eastAsia="方正书宋简体" w:cs="方正书宋简体"/>
          <w:sz w:val="21"/>
          <w:szCs w:val="21"/>
        </w:rPr>
        <w:t>月起</w:t>
      </w:r>
      <w:r>
        <w:rPr>
          <w:rFonts w:hint="eastAsia" w:ascii="方正书宋简体" w:hAnsi="方正书宋简体" w:eastAsia="方正书宋简体" w:cs="方正书宋简体"/>
          <w:sz w:val="21"/>
          <w:szCs w:val="21"/>
          <w:lang w:val="en-US" w:eastAsia="zh-CN"/>
        </w:rPr>
        <w:t>施</w:t>
      </w:r>
      <w:r>
        <w:rPr>
          <w:rFonts w:hint="eastAsia" w:ascii="方正书宋简体" w:hAnsi="方正书宋简体" w:eastAsia="方正书宋简体" w:cs="方正书宋简体"/>
          <w:sz w:val="21"/>
          <w:szCs w:val="21"/>
        </w:rPr>
        <w:t>行，由学生处负责解释。</w:t>
      </w:r>
    </w:p>
    <w:p w14:paraId="26332F0A">
      <w:pPr>
        <w:pageBreakBefore w:val="0"/>
        <w:overflowPunct/>
        <w:topLinePunct w:val="0"/>
        <w:bidi w:val="0"/>
        <w:spacing w:line="400" w:lineRule="exact"/>
        <w:ind w:left="0" w:leftChars="0" w:right="0" w:firstLine="420" w:firstLineChars="200"/>
        <w:rPr>
          <w:rFonts w:hint="eastAsia" w:ascii="方正书宋简体" w:hAnsi="方正书宋简体" w:eastAsia="方正书宋简体" w:cs="方正书宋简体"/>
          <w:sz w:val="21"/>
          <w:szCs w:val="21"/>
        </w:rPr>
      </w:pPr>
    </w:p>
    <w:p w14:paraId="3E2D249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b w:val="0"/>
          <w:bCs/>
          <w:sz w:val="21"/>
          <w:szCs w:val="21"/>
          <w:lang w:val="en-US" w:eastAsia="zh-CN"/>
        </w:rPr>
      </w:pPr>
      <w:r>
        <w:rPr>
          <w:rFonts w:hint="eastAsia" w:ascii="方正书宋简体" w:hAnsi="方正书宋简体" w:eastAsia="方正书宋简体" w:cs="方正书宋简体"/>
          <w:b w:val="0"/>
          <w:bCs/>
          <w:sz w:val="21"/>
          <w:szCs w:val="21"/>
          <w:lang w:val="en-US" w:eastAsia="zh-CN"/>
        </w:rPr>
        <w:br w:type="page"/>
      </w:r>
    </w:p>
    <w:p w14:paraId="2127C3F5">
      <w:pPr>
        <w:pStyle w:val="2"/>
        <w:rPr>
          <w:rFonts w:hint="eastAsia"/>
        </w:rPr>
      </w:pPr>
      <w:bookmarkStart w:id="264" w:name="_Toc31615"/>
      <w:bookmarkStart w:id="265" w:name="_Toc16008"/>
      <w:bookmarkStart w:id="266" w:name="_Toc29987"/>
      <w:bookmarkStart w:id="267" w:name="_Toc25430"/>
      <w:bookmarkStart w:id="268" w:name="_Toc32035"/>
      <w:bookmarkStart w:id="269" w:name="_Toc5363"/>
      <w:bookmarkStart w:id="270" w:name="_Toc7422"/>
      <w:bookmarkStart w:id="271" w:name="_Toc4035"/>
      <w:r>
        <w:rPr>
          <w:rFonts w:hint="eastAsia"/>
        </w:rPr>
        <w:t>安徽电气工程职业技术学院</w:t>
      </w:r>
      <w:bookmarkEnd w:id="264"/>
      <w:bookmarkEnd w:id="265"/>
      <w:bookmarkEnd w:id="266"/>
      <w:bookmarkEnd w:id="267"/>
      <w:bookmarkEnd w:id="268"/>
      <w:bookmarkEnd w:id="269"/>
      <w:bookmarkEnd w:id="270"/>
      <w:bookmarkEnd w:id="271"/>
      <w:bookmarkStart w:id="272" w:name="安徽电气工程职业技术学院学生先进集体和先进个人评选办法"/>
    </w:p>
    <w:p w14:paraId="5DCA1DF4">
      <w:pPr>
        <w:pStyle w:val="2"/>
        <w:rPr>
          <w:rFonts w:hint="eastAsia"/>
        </w:rPr>
      </w:pPr>
      <w:bookmarkStart w:id="273" w:name="_Toc16771"/>
      <w:bookmarkStart w:id="274" w:name="_Toc1207"/>
      <w:bookmarkStart w:id="275" w:name="_Toc14993"/>
      <w:bookmarkStart w:id="276" w:name="_Toc13478"/>
      <w:bookmarkStart w:id="277" w:name="_Toc19379"/>
      <w:bookmarkStart w:id="278" w:name="_Toc32646"/>
      <w:bookmarkStart w:id="279" w:name="_Toc20621"/>
      <w:bookmarkStart w:id="280" w:name="_Toc26728"/>
      <w:r>
        <w:rPr>
          <w:rFonts w:hint="eastAsia"/>
        </w:rPr>
        <w:t>学生先进集体和先进个人评选办法</w:t>
      </w:r>
      <w:bookmarkEnd w:id="272"/>
      <w:bookmarkEnd w:id="273"/>
      <w:bookmarkEnd w:id="274"/>
      <w:bookmarkEnd w:id="275"/>
      <w:bookmarkEnd w:id="276"/>
      <w:bookmarkEnd w:id="277"/>
      <w:bookmarkEnd w:id="278"/>
      <w:bookmarkEnd w:id="279"/>
      <w:bookmarkEnd w:id="280"/>
    </w:p>
    <w:p w14:paraId="2B160645">
      <w:pPr>
        <w:keepNext w:val="0"/>
        <w:keepLines w:val="0"/>
        <w:pageBreakBefore w:val="0"/>
        <w:kinsoku/>
        <w:wordWrap/>
        <w:overflowPunct/>
        <w:topLinePunct w:val="0"/>
        <w:autoSpaceDE/>
        <w:autoSpaceDN/>
        <w:bidi w:val="0"/>
        <w:adjustRightInd/>
        <w:snapToGrid/>
        <w:spacing w:line="400" w:lineRule="exact"/>
        <w:ind w:left="0" w:leftChars="0" w:right="0" w:firstLine="420" w:firstLineChars="200"/>
        <w:jc w:val="center"/>
        <w:textAlignment w:val="auto"/>
        <w:rPr>
          <w:rFonts w:hint="eastAsia" w:ascii="方正书宋简体" w:hAnsi="方正书宋简体" w:eastAsia="方正书宋简体" w:cs="方正书宋简体"/>
          <w:sz w:val="21"/>
          <w:szCs w:val="21"/>
        </w:rPr>
      </w:pPr>
    </w:p>
    <w:p w14:paraId="7C0C28D6">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为调动学生学习和参与社会活动的积极性，培养合格人才，学校每学年开展一次先进集体、先进个人的评选活动，具体办法如下：</w:t>
      </w:r>
    </w:p>
    <w:p w14:paraId="17572E0E">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b/>
          <w:sz w:val="21"/>
          <w:szCs w:val="21"/>
        </w:rPr>
      </w:pPr>
      <w:r>
        <w:rPr>
          <w:rFonts w:hint="eastAsia" w:ascii="方正书宋简体" w:hAnsi="方正书宋简体" w:eastAsia="方正书宋简体" w:cs="方正书宋简体"/>
          <w:b/>
          <w:sz w:val="21"/>
          <w:szCs w:val="21"/>
        </w:rPr>
        <w:t>一、评选范围和比例</w:t>
      </w:r>
    </w:p>
    <w:p w14:paraId="6AF216DA">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（一）评选范围：先进集体、先进个人的评选在入学满一年的班级和学生中进行。</w:t>
      </w:r>
    </w:p>
    <w:p w14:paraId="48F06DAC">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（二）评选比例：</w:t>
      </w:r>
    </w:p>
    <w:p w14:paraId="6032FEE5">
      <w:pPr>
        <w:keepNext w:val="0"/>
        <w:keepLines w:val="0"/>
        <w:pageBreakBefore w:val="0"/>
        <w:kinsoku/>
        <w:wordWrap/>
        <w:overflowPunct/>
        <w:topLinePunct w:val="0"/>
        <w:autoSpaceDE/>
        <w:autoSpaceDN/>
        <w:bidi w:val="0"/>
        <w:adjustRightInd w:val="0"/>
        <w:snapToGrid w:val="0"/>
        <w:spacing w:line="400" w:lineRule="exact"/>
        <w:ind w:left="0" w:leftChars="0" w:right="0" w:firstLine="404" w:firstLineChars="200"/>
        <w:textAlignment w:val="auto"/>
        <w:rPr>
          <w:rFonts w:hint="eastAsia" w:ascii="方正书宋简体" w:hAnsi="方正书宋简体" w:eastAsia="方正书宋简体" w:cs="方正书宋简体"/>
          <w:spacing w:val="-4"/>
          <w:sz w:val="21"/>
          <w:szCs w:val="21"/>
        </w:rPr>
      </w:pPr>
      <w:r>
        <w:rPr>
          <w:rFonts w:hint="eastAsia" w:ascii="方正书宋简体" w:hAnsi="方正书宋简体" w:eastAsia="方正书宋简体" w:cs="方正书宋简体"/>
          <w:spacing w:val="-4"/>
          <w:sz w:val="21"/>
          <w:szCs w:val="21"/>
        </w:rPr>
        <w:t>1</w:t>
      </w:r>
      <w:r>
        <w:rPr>
          <w:rFonts w:hint="eastAsia" w:ascii="方正书宋简体" w:hAnsi="方正书宋简体" w:eastAsia="方正书宋简体" w:cs="方正书宋简体"/>
          <w:spacing w:val="-4"/>
          <w:sz w:val="21"/>
          <w:szCs w:val="21"/>
          <w:lang w:val="en-US" w:eastAsia="zh-CN"/>
        </w:rPr>
        <w:t>.</w:t>
      </w:r>
      <w:r>
        <w:rPr>
          <w:rFonts w:hint="eastAsia" w:ascii="方正书宋简体" w:hAnsi="方正书宋简体" w:eastAsia="方正书宋简体" w:cs="方正书宋简体"/>
          <w:spacing w:val="-4"/>
          <w:sz w:val="21"/>
          <w:szCs w:val="21"/>
        </w:rPr>
        <w:t xml:space="preserve">先进班级的评选，其比例应占班级总数的10～15％； </w:t>
      </w:r>
    </w:p>
    <w:p w14:paraId="4A252550">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先进个人包括“三好学生”、“ 优秀学生干部”、“学习标兵”等。其比例为：“三好学生”为参评人数的15％，“ 优秀学生干部”为参评干部人数的20%，“学习标兵”为参评学生人数的0.5％；</w:t>
      </w:r>
    </w:p>
    <w:p w14:paraId="670A4FB6">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（三）评选要求：先进集体、先进个人的评选，要严格按照条件，依据学年度班级量化考核和学生综合素质测评结果，坚持公开、公平、公正的原则，确保质量。</w:t>
      </w:r>
    </w:p>
    <w:p w14:paraId="3CB98E6C">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b/>
          <w:sz w:val="21"/>
          <w:szCs w:val="21"/>
        </w:rPr>
      </w:pPr>
      <w:r>
        <w:rPr>
          <w:rFonts w:hint="eastAsia" w:ascii="方正书宋简体" w:hAnsi="方正书宋简体" w:eastAsia="方正书宋简体" w:cs="方正书宋简体"/>
          <w:b/>
          <w:sz w:val="21"/>
          <w:szCs w:val="21"/>
        </w:rPr>
        <w:t>二、评选条件</w:t>
      </w:r>
    </w:p>
    <w:p w14:paraId="61CAB792">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（一）先进班级条件</w:t>
      </w:r>
    </w:p>
    <w:p w14:paraId="75AD8F20">
      <w:pPr>
        <w:keepNext w:val="0"/>
        <w:keepLines w:val="0"/>
        <w:pageBreakBefore w:val="0"/>
        <w:kinsoku/>
        <w:wordWrap/>
        <w:overflowPunct/>
        <w:topLinePunct w:val="0"/>
        <w:autoSpaceDE/>
        <w:autoSpaceDN/>
        <w:bidi w:val="0"/>
        <w:adjustRightInd w:val="0"/>
        <w:snapToGrid w:val="0"/>
        <w:spacing w:line="400" w:lineRule="exact"/>
        <w:ind w:left="0" w:leftChars="0" w:right="0" w:firstLine="412" w:firstLineChars="200"/>
        <w:textAlignment w:val="auto"/>
        <w:rPr>
          <w:rFonts w:hint="eastAsia" w:ascii="方正书宋简体" w:hAnsi="方正书宋简体" w:eastAsia="方正书宋简体" w:cs="方正书宋简体"/>
          <w:spacing w:val="-2"/>
          <w:sz w:val="21"/>
          <w:szCs w:val="21"/>
        </w:rPr>
      </w:pPr>
      <w:r>
        <w:rPr>
          <w:rFonts w:hint="eastAsia" w:ascii="方正书宋简体" w:hAnsi="方正书宋简体" w:eastAsia="方正书宋简体" w:cs="方正书宋简体"/>
          <w:spacing w:val="-2"/>
          <w:sz w:val="21"/>
          <w:szCs w:val="21"/>
        </w:rPr>
        <w:t>1</w:t>
      </w:r>
      <w:r>
        <w:rPr>
          <w:rFonts w:hint="eastAsia" w:ascii="方正书宋简体" w:hAnsi="方正书宋简体" w:eastAsia="方正书宋简体" w:cs="方正书宋简体"/>
          <w:spacing w:val="-2"/>
          <w:sz w:val="21"/>
          <w:szCs w:val="21"/>
          <w:lang w:val="en-US" w:eastAsia="zh-CN"/>
        </w:rPr>
        <w:t>.</w:t>
      </w:r>
      <w:r>
        <w:rPr>
          <w:rFonts w:hint="eastAsia" w:ascii="方正书宋简体" w:hAnsi="方正书宋简体" w:eastAsia="方正书宋简体" w:cs="方正书宋简体"/>
          <w:spacing w:val="-2"/>
          <w:sz w:val="21"/>
          <w:szCs w:val="21"/>
        </w:rPr>
        <w:t>有好的班委会。班委会成员思想觉悟高，学习勤奋，工作协调，对自己要求严格，关心同学，团结互助，在同学中有较高的威信，能出色的完成学校交办的各项工作。</w:t>
      </w:r>
    </w:p>
    <w:p w14:paraId="081EDA35">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有好的班风。全班同学能积极参加各项社会活动，自觉遵守学校各项规章制度，一年内没有发生严重违反校规校纪的现象，在校园精神文明建设活动中成绩突出。</w:t>
      </w:r>
    </w:p>
    <w:p w14:paraId="086BF300">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3</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有好的学风。全班同学学习努力，学风扎实，并能积极组织第二课堂和社会实践活动，不断拓宽知识，发展潜能，提高综合素质。</w:t>
      </w:r>
    </w:p>
    <w:p w14:paraId="776E86A0">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有好的班级集体生活习惯。班级教室、宿舍、卫生管理制度健全，值班、值日、管理工作有条不紊，没有违反学校宿舍管理制度的现象。</w:t>
      </w:r>
    </w:p>
    <w:p w14:paraId="3BDD69F5">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5</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有下列情况之一者，不得评为先进班级：</w:t>
      </w:r>
    </w:p>
    <w:p w14:paraId="53316A05">
      <w:pPr>
        <w:keepNext w:val="0"/>
        <w:keepLines w:val="0"/>
        <w:pageBreakBefore w:val="0"/>
        <w:kinsoku/>
        <w:wordWrap/>
        <w:overflowPunct/>
        <w:topLinePunct w:val="0"/>
        <w:autoSpaceDE/>
        <w:autoSpaceDN/>
        <w:bidi w:val="0"/>
        <w:adjustRightInd w:val="0"/>
        <w:snapToGrid w:val="0"/>
        <w:spacing w:line="400" w:lineRule="exact"/>
        <w:ind w:left="0" w:leftChars="0" w:right="0" w:firstLine="404" w:firstLineChars="200"/>
        <w:textAlignment w:val="auto"/>
        <w:rPr>
          <w:rFonts w:hint="eastAsia" w:ascii="方正书宋简体" w:hAnsi="方正书宋简体" w:eastAsia="方正书宋简体" w:cs="方正书宋简体"/>
          <w:spacing w:val="-4"/>
          <w:sz w:val="21"/>
          <w:szCs w:val="21"/>
        </w:rPr>
      </w:pPr>
      <w:r>
        <w:rPr>
          <w:rFonts w:hint="eastAsia" w:ascii="方正书宋简体" w:hAnsi="方正书宋简体" w:eastAsia="方正书宋简体" w:cs="方正书宋简体"/>
          <w:spacing w:val="-4"/>
          <w:sz w:val="21"/>
          <w:szCs w:val="21"/>
        </w:rPr>
        <w:t>（1）本学年内班级有受</w:t>
      </w:r>
      <w:r>
        <w:rPr>
          <w:rFonts w:hint="eastAsia" w:ascii="方正书宋简体" w:hAnsi="方正书宋简体" w:eastAsia="方正书宋简体" w:cs="方正书宋简体"/>
          <w:spacing w:val="-4"/>
          <w:sz w:val="21"/>
          <w:szCs w:val="21"/>
          <w:lang w:val="en-US" w:eastAsia="zh-CN"/>
        </w:rPr>
        <w:t>警告及</w:t>
      </w:r>
      <w:r>
        <w:rPr>
          <w:rFonts w:hint="eastAsia" w:ascii="方正书宋简体" w:hAnsi="方正书宋简体" w:eastAsia="方正书宋简体" w:cs="方正书宋简体"/>
          <w:spacing w:val="-4"/>
          <w:sz w:val="21"/>
          <w:szCs w:val="21"/>
        </w:rPr>
        <w:t>以上处分的学生。</w:t>
      </w:r>
    </w:p>
    <w:p w14:paraId="6B6E88CB">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（2）班级上课月平均出勤率低于95%，晚自习出勤率低于90%，早操出勤率低于80％。</w:t>
      </w:r>
    </w:p>
    <w:p w14:paraId="38488CFD">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（3）班级有人为损坏公物、聚众起哄、损人利已等不良行为以及班级宿舍出现失火、严重违反</w:t>
      </w:r>
      <w:r>
        <w:rPr>
          <w:rFonts w:hint="eastAsia" w:ascii="方正书宋简体" w:hAnsi="方正书宋简体" w:eastAsia="方正书宋简体" w:cs="方正书宋简体"/>
          <w:sz w:val="21"/>
          <w:szCs w:val="21"/>
          <w:lang w:val="en-US" w:eastAsia="zh-CN"/>
        </w:rPr>
        <w:t>宿舍</w:t>
      </w:r>
      <w:r>
        <w:rPr>
          <w:rFonts w:hint="eastAsia" w:ascii="方正书宋简体" w:hAnsi="方正书宋简体" w:eastAsia="方正书宋简体" w:cs="方正书宋简体"/>
          <w:sz w:val="21"/>
          <w:szCs w:val="21"/>
        </w:rPr>
        <w:t>管理规定被通报批评和处分的。</w:t>
      </w:r>
    </w:p>
    <w:p w14:paraId="6CC7AFFA">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（4）班级有无故不参加集体安排、组织的社会活动及公益劳动的。</w:t>
      </w:r>
    </w:p>
    <w:p w14:paraId="23A1425D">
      <w:pPr>
        <w:keepNext w:val="0"/>
        <w:keepLines w:val="0"/>
        <w:pageBreakBefore w:val="0"/>
        <w:kinsoku/>
        <w:wordWrap/>
        <w:overflowPunct/>
        <w:topLinePunct w:val="0"/>
        <w:autoSpaceDE/>
        <w:autoSpaceDN/>
        <w:bidi w:val="0"/>
        <w:adjustRightInd w:val="0"/>
        <w:snapToGrid w:val="0"/>
        <w:spacing w:line="400" w:lineRule="exact"/>
        <w:ind w:left="0" w:leftChars="0" w:right="0" w:firstLine="404"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pacing w:val="-4"/>
          <w:sz w:val="21"/>
          <w:szCs w:val="21"/>
        </w:rPr>
        <w:t>（5）班级学年度综合考核积分列全系班级后50％者</w:t>
      </w:r>
      <w:r>
        <w:rPr>
          <w:rFonts w:hint="eastAsia" w:ascii="方正书宋简体" w:hAnsi="方正书宋简体" w:eastAsia="方正书宋简体" w:cs="方正书宋简体"/>
          <w:sz w:val="21"/>
          <w:szCs w:val="21"/>
        </w:rPr>
        <w:t>。</w:t>
      </w:r>
    </w:p>
    <w:p w14:paraId="21527F1F">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w:t>
      </w:r>
      <w:r>
        <w:rPr>
          <w:rFonts w:hint="eastAsia" w:ascii="方正书宋简体" w:hAnsi="方正书宋简体" w:eastAsia="方正书宋简体" w:cs="方正书宋简体"/>
          <w:sz w:val="21"/>
          <w:szCs w:val="21"/>
          <w:lang w:val="en-US" w:eastAsia="zh-CN"/>
        </w:rPr>
        <w:t>6</w:t>
      </w:r>
      <w:r>
        <w:rPr>
          <w:rFonts w:hint="eastAsia" w:ascii="方正书宋简体" w:hAnsi="方正书宋简体" w:eastAsia="方正书宋简体" w:cs="方正书宋简体"/>
          <w:sz w:val="21"/>
          <w:szCs w:val="21"/>
        </w:rPr>
        <w:t>）班级有10%以上的学生素质考核认证成绩为不合格者。</w:t>
      </w:r>
    </w:p>
    <w:p w14:paraId="05CBD8BD">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（二）三好学生条件</w:t>
      </w:r>
    </w:p>
    <w:p w14:paraId="648B6E2B">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思想品德好。热爱社会主义祖国，拥护中国共产党，积极参加学校各项政治学习和集体活动，热心为集体服务，积极参加劳动，尊敬师长，团结同学，助人为乐，生活俭朴，遵纪守法，遵守社会公德，自觉执行《学生守则》，勇于开展批评和自我批评，同不良倾向作斗争，在同学中起模范带头作用。</w:t>
      </w:r>
    </w:p>
    <w:p w14:paraId="21B25AE2">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pacing w:val="-2"/>
          <w:sz w:val="21"/>
          <w:szCs w:val="21"/>
        </w:rPr>
      </w:pPr>
      <w:r>
        <w:rPr>
          <w:rFonts w:hint="eastAsia" w:ascii="方正书宋简体" w:hAnsi="方正书宋简体" w:eastAsia="方正书宋简体" w:cs="方正书宋简体"/>
          <w:sz w:val="21"/>
          <w:szCs w:val="21"/>
        </w:rPr>
        <w:t>2</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学</w:t>
      </w:r>
      <w:r>
        <w:rPr>
          <w:rFonts w:hint="eastAsia" w:ascii="方正书宋简体" w:hAnsi="方正书宋简体" w:eastAsia="方正书宋简体" w:cs="方正书宋简体"/>
          <w:spacing w:val="-2"/>
          <w:sz w:val="21"/>
          <w:szCs w:val="21"/>
        </w:rPr>
        <w:t>习好。热爱所学专业，学习目的明确，学习态度端正，学习成绩优秀，学年两个学期平均学分绩点</w:t>
      </w:r>
      <w:r>
        <w:rPr>
          <w:rFonts w:hint="eastAsia" w:ascii="方正书宋简体" w:hAnsi="方正书宋简体" w:eastAsia="方正书宋简体" w:cs="方正书宋简体"/>
          <w:spacing w:val="-2"/>
          <w:sz w:val="21"/>
          <w:szCs w:val="21"/>
          <w:lang w:eastAsia="zh-CN"/>
        </w:rPr>
        <w:t>（</w:t>
      </w:r>
      <w:r>
        <w:rPr>
          <w:rFonts w:hint="eastAsia" w:ascii="方正书宋简体" w:hAnsi="方正书宋简体" w:eastAsia="方正书宋简体" w:cs="方正书宋简体"/>
          <w:spacing w:val="-2"/>
          <w:sz w:val="21"/>
          <w:szCs w:val="21"/>
          <w:lang w:val="en-US" w:eastAsia="zh-CN"/>
        </w:rPr>
        <w:t>加权平均分）</w:t>
      </w:r>
      <w:r>
        <w:rPr>
          <w:rFonts w:hint="eastAsia" w:ascii="方正书宋简体" w:hAnsi="方正书宋简体" w:eastAsia="方正书宋简体" w:cs="方正书宋简体"/>
          <w:spacing w:val="-2"/>
          <w:sz w:val="21"/>
          <w:szCs w:val="21"/>
        </w:rPr>
        <w:t>在班级前30%，且必修、选修课程均无不及格（不含补考成绩）现象。</w:t>
      </w:r>
    </w:p>
    <w:p w14:paraId="037A9872">
      <w:pPr>
        <w:keepNext w:val="0"/>
        <w:keepLines w:val="0"/>
        <w:pageBreakBefore w:val="0"/>
        <w:kinsoku/>
        <w:wordWrap/>
        <w:overflowPunct/>
        <w:topLinePunct w:val="0"/>
        <w:autoSpaceDE/>
        <w:autoSpaceDN/>
        <w:bidi w:val="0"/>
        <w:adjustRightInd w:val="0"/>
        <w:snapToGrid w:val="0"/>
        <w:spacing w:line="400" w:lineRule="exact"/>
        <w:ind w:left="0" w:leftChars="0" w:right="0" w:firstLine="412" w:firstLineChars="200"/>
        <w:textAlignment w:val="auto"/>
        <w:rPr>
          <w:rFonts w:hint="eastAsia" w:ascii="方正书宋简体" w:hAnsi="方正书宋简体" w:eastAsia="方正书宋简体" w:cs="方正书宋简体"/>
          <w:spacing w:val="-2"/>
          <w:sz w:val="21"/>
          <w:szCs w:val="21"/>
        </w:rPr>
      </w:pPr>
      <w:r>
        <w:rPr>
          <w:rFonts w:hint="eastAsia" w:ascii="方正书宋简体" w:hAnsi="方正书宋简体" w:eastAsia="方正书宋简体" w:cs="方正书宋简体"/>
          <w:spacing w:val="-2"/>
          <w:sz w:val="21"/>
          <w:szCs w:val="21"/>
        </w:rPr>
        <w:t>3</w:t>
      </w:r>
      <w:r>
        <w:rPr>
          <w:rFonts w:hint="eastAsia" w:ascii="方正书宋简体" w:hAnsi="方正书宋简体" w:eastAsia="方正书宋简体" w:cs="方正书宋简体"/>
          <w:spacing w:val="-2"/>
          <w:sz w:val="21"/>
          <w:szCs w:val="21"/>
          <w:lang w:val="en-US" w:eastAsia="zh-CN"/>
        </w:rPr>
        <w:t>.</w:t>
      </w:r>
      <w:r>
        <w:rPr>
          <w:rFonts w:hint="eastAsia" w:ascii="方正书宋简体" w:hAnsi="方正书宋简体" w:eastAsia="方正书宋简体" w:cs="方正书宋简体"/>
          <w:spacing w:val="-2"/>
          <w:sz w:val="21"/>
          <w:szCs w:val="21"/>
        </w:rPr>
        <w:t>身体好。坚持锻炼身体，积极参加文艺体育活动，讲究个人卫生和公共卫生，身心健康。当年《国家学生体质健康标准》测试成绩评定达到70分以上（含70分）者（或因病、残疾提交申请并被核准后免予执行《标准》者）。</w:t>
      </w:r>
    </w:p>
    <w:p w14:paraId="72FDFA06">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学年两个学期素质考核认证平均分名列班级前30％。</w:t>
      </w:r>
    </w:p>
    <w:p w14:paraId="519BA2D0">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（三）优秀学生干部条件</w:t>
      </w:r>
    </w:p>
    <w:p w14:paraId="6BA8A73B">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优秀学生干部必须是连续任职在一学年以上的在职学生干部。</w:t>
      </w:r>
    </w:p>
    <w:p w14:paraId="455CC225">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能以身作则，模范遵守校纪校规。</w:t>
      </w:r>
    </w:p>
    <w:p w14:paraId="7312855B">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3</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坚持原则，作风正派，是非分明，勇于开展批评和自我批评。</w:t>
      </w:r>
    </w:p>
    <w:p w14:paraId="6B264C59">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讲求工作方法，注重班干之间的协调配合；团结同学，热心为同学服务。</w:t>
      </w:r>
    </w:p>
    <w:p w14:paraId="7AD97FE6">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5</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积极组织同学参加学校开展的各项活动，能出色完成本职工作，完成上级交给的各项任务。</w:t>
      </w:r>
    </w:p>
    <w:p w14:paraId="40D4E6BC">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6</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学年两个学期素质考核认证平均分在班级名列前30％以上，学年内各门考试（查）课程正考成绩无不及格现象。</w:t>
      </w:r>
    </w:p>
    <w:p w14:paraId="782F303A">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（四）“学习标兵”条件</w:t>
      </w:r>
    </w:p>
    <w:p w14:paraId="32E5052A">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学习目的明确，学习态度端正，勤奋刻苦，遵守纪律，坚持上自习课（包括晚自习）无旷课现象；</w:t>
      </w:r>
    </w:p>
    <w:p w14:paraId="21BE67E3">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学习成绩优良，连续两学期考试课平均成绩均在85分以上，单科成绩不低于80分，考查课各科成绩在良好以上，学年度平均学分绩点成绩</w:t>
      </w:r>
      <w:r>
        <w:rPr>
          <w:rFonts w:hint="eastAsia" w:ascii="方正书宋简体" w:hAnsi="方正书宋简体" w:eastAsia="方正书宋简体" w:cs="方正书宋简体"/>
          <w:spacing w:val="-2"/>
          <w:sz w:val="21"/>
          <w:szCs w:val="21"/>
          <w:lang w:eastAsia="zh-CN"/>
        </w:rPr>
        <w:t>（</w:t>
      </w:r>
      <w:r>
        <w:rPr>
          <w:rFonts w:hint="eastAsia" w:ascii="方正书宋简体" w:hAnsi="方正书宋简体" w:eastAsia="方正书宋简体" w:cs="方正书宋简体"/>
          <w:spacing w:val="-2"/>
          <w:sz w:val="21"/>
          <w:szCs w:val="21"/>
          <w:lang w:val="en-US" w:eastAsia="zh-CN"/>
        </w:rPr>
        <w:t>加权平均分）</w:t>
      </w:r>
      <w:r>
        <w:rPr>
          <w:rFonts w:hint="eastAsia" w:ascii="方正书宋简体" w:hAnsi="方正书宋简体" w:eastAsia="方正书宋简体" w:cs="方正书宋简体"/>
          <w:sz w:val="21"/>
          <w:szCs w:val="21"/>
        </w:rPr>
        <w:t>位列班级前五名；</w:t>
      </w:r>
    </w:p>
    <w:p w14:paraId="79C62603">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3</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能积极参加学校开展的各项活动，政治思想方面无不良表现；</w:t>
      </w:r>
    </w:p>
    <w:p w14:paraId="5CE40C46">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4</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坚持体育锻炼，积极参加学校和班级的公益劳动；</w:t>
      </w:r>
    </w:p>
    <w:p w14:paraId="5F9E3906">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5</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三好学生可以兼获“学习标兵”。</w:t>
      </w:r>
    </w:p>
    <w:p w14:paraId="6C42BB22">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b/>
          <w:sz w:val="21"/>
          <w:szCs w:val="21"/>
        </w:rPr>
      </w:pPr>
      <w:r>
        <w:rPr>
          <w:rFonts w:hint="eastAsia" w:ascii="方正书宋简体" w:hAnsi="方正书宋简体" w:eastAsia="方正书宋简体" w:cs="方正书宋简体"/>
          <w:b/>
          <w:sz w:val="21"/>
          <w:szCs w:val="21"/>
        </w:rPr>
        <w:t>三、评选步骤</w:t>
      </w:r>
    </w:p>
    <w:p w14:paraId="41083CE3">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评选先进个人。由辅导员主持召开会议，学习评比条件，布置评优工作。参加评选的学生提出申请，并写出学年度个人小结交班级，辅导员组织班委会成员和部分学生代表（学生代表数可占班级人数的20％，由班级推荐产生）开会，根据个人申请、学习成绩、素质测评及表现情况民主提名，初步（也可以召开班级会议直接）评出 “三好学生”、“优秀学生干部”、“学习标兵”</w:t>
      </w:r>
      <w:r>
        <w:rPr>
          <w:rFonts w:hint="eastAsia" w:ascii="方正书宋简体" w:hAnsi="方正书宋简体" w:eastAsia="方正书宋简体" w:cs="方正书宋简体"/>
          <w:spacing w:val="-4"/>
          <w:sz w:val="21"/>
          <w:szCs w:val="21"/>
        </w:rPr>
        <w:t xml:space="preserve"> 等，将初评结果连同先进个人申报表报所在系。系广泛征求学生和任课教师意见后，填写系部意见后报学生处审批。</w:t>
      </w:r>
    </w:p>
    <w:p w14:paraId="7D0E2626">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pacing w:val="-3"/>
          <w:sz w:val="21"/>
          <w:szCs w:val="21"/>
        </w:rPr>
      </w:pPr>
      <w:r>
        <w:rPr>
          <w:rFonts w:hint="eastAsia" w:ascii="方正书宋简体" w:hAnsi="方正书宋简体" w:eastAsia="方正书宋简体" w:cs="方正书宋简体"/>
          <w:sz w:val="21"/>
          <w:szCs w:val="21"/>
        </w:rPr>
        <w:t>2</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pacing w:val="-3"/>
          <w:sz w:val="21"/>
          <w:szCs w:val="21"/>
        </w:rPr>
        <w:t>评选先进集体。先进集体的评选采取申请制，各班级将申请书、准备好的先进班级事迹材料、班级年度工作总结、班级日志及获奖（包括个人获奖）材料等报本系审核，各系根据班级</w:t>
      </w:r>
      <w:r>
        <w:rPr>
          <w:rFonts w:hint="eastAsia" w:ascii="方正书宋简体" w:hAnsi="方正书宋简体" w:eastAsia="方正书宋简体" w:cs="方正书宋简体"/>
          <w:spacing w:val="-4"/>
          <w:sz w:val="21"/>
          <w:szCs w:val="21"/>
        </w:rPr>
        <w:t>年度综合考核积分</w:t>
      </w:r>
      <w:r>
        <w:rPr>
          <w:rFonts w:hint="eastAsia" w:ascii="方正书宋简体" w:hAnsi="方正书宋简体" w:eastAsia="方正书宋简体" w:cs="方正书宋简体"/>
          <w:spacing w:val="-3"/>
          <w:sz w:val="21"/>
          <w:szCs w:val="21"/>
        </w:rPr>
        <w:t>和分配的指标提出初评意见后报学生处审批。</w:t>
      </w:r>
    </w:p>
    <w:p w14:paraId="470AC228">
      <w:pPr>
        <w:keepNext w:val="0"/>
        <w:keepLines w:val="0"/>
        <w:pageBreakBefore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b/>
          <w:sz w:val="21"/>
          <w:szCs w:val="21"/>
        </w:rPr>
      </w:pPr>
      <w:r>
        <w:rPr>
          <w:rFonts w:hint="eastAsia" w:ascii="方正书宋简体" w:hAnsi="方正书宋简体" w:eastAsia="方正书宋简体" w:cs="方正书宋简体"/>
          <w:b/>
          <w:sz w:val="21"/>
          <w:szCs w:val="21"/>
        </w:rPr>
        <w:t>四、奖励办法</w:t>
      </w:r>
    </w:p>
    <w:p w14:paraId="6CF01948">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1</w:t>
      </w:r>
      <w:r>
        <w:rPr>
          <w:rFonts w:hint="eastAsia" w:ascii="方正书宋简体" w:hAnsi="方正书宋简体" w:eastAsia="方正书宋简体" w:cs="方正书宋简体"/>
          <w:sz w:val="21"/>
          <w:szCs w:val="21"/>
          <w:lang w:val="en-US" w:eastAsia="zh-CN"/>
        </w:rPr>
        <w:t>.学</w:t>
      </w:r>
      <w:r>
        <w:rPr>
          <w:rFonts w:hint="eastAsia" w:ascii="方正书宋简体" w:hAnsi="方正书宋简体" w:eastAsia="方正书宋简体" w:cs="方正书宋简体"/>
          <w:sz w:val="21"/>
          <w:szCs w:val="21"/>
        </w:rPr>
        <w:t>院或系</w:t>
      </w:r>
      <w:r>
        <w:rPr>
          <w:rFonts w:hint="eastAsia" w:ascii="方正书宋简体" w:hAnsi="方正书宋简体" w:eastAsia="方正书宋简体" w:cs="方正书宋简体"/>
          <w:sz w:val="21"/>
          <w:szCs w:val="21"/>
          <w:lang w:val="en-US" w:eastAsia="zh-CN"/>
        </w:rPr>
        <w:t>部</w:t>
      </w:r>
      <w:r>
        <w:rPr>
          <w:rFonts w:hint="eastAsia" w:ascii="方正书宋简体" w:hAnsi="方正书宋简体" w:eastAsia="方正书宋简体" w:cs="方正书宋简体"/>
          <w:sz w:val="21"/>
          <w:szCs w:val="21"/>
        </w:rPr>
        <w:t>召开授奖大会，宣布表彰决定，授予先进集体、先进个人荣誉称号，向获奖的班级和个人颁发证书和奖品。</w:t>
      </w:r>
    </w:p>
    <w:p w14:paraId="1FA44770">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2</w:t>
      </w:r>
      <w:r>
        <w:rPr>
          <w:rFonts w:hint="eastAsia" w:ascii="方正书宋简体" w:hAnsi="方正书宋简体" w:eastAsia="方正书宋简体" w:cs="方正书宋简体"/>
          <w:sz w:val="21"/>
          <w:szCs w:val="21"/>
          <w:lang w:val="en-US" w:eastAsia="zh-CN"/>
        </w:rPr>
        <w:t>.</w:t>
      </w:r>
      <w:r>
        <w:rPr>
          <w:rFonts w:hint="eastAsia" w:ascii="方正书宋简体" w:hAnsi="方正书宋简体" w:eastAsia="方正书宋简体" w:cs="方正书宋简体"/>
          <w:sz w:val="21"/>
          <w:szCs w:val="21"/>
        </w:rPr>
        <w:t>填写“先进个人”登记表，存入本人档案。</w:t>
      </w:r>
    </w:p>
    <w:p w14:paraId="701DD091">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lang w:val="en-US" w:eastAsia="zh-CN"/>
        </w:rPr>
      </w:pPr>
      <w:r>
        <w:rPr>
          <w:rFonts w:hint="eastAsia" w:ascii="方正书宋简体" w:hAnsi="方正书宋简体" w:eastAsia="方正书宋简体" w:cs="方正书宋简体"/>
          <w:sz w:val="21"/>
          <w:szCs w:val="21"/>
          <w:lang w:val="en-US" w:eastAsia="zh-CN"/>
        </w:rPr>
        <w:t>五、附则</w:t>
      </w:r>
    </w:p>
    <w:p w14:paraId="45BECBA0">
      <w:pPr>
        <w:keepNext w:val="0"/>
        <w:keepLines w:val="0"/>
        <w:pageBreakBefore w:val="0"/>
        <w:kinsoku/>
        <w:wordWrap/>
        <w:overflowPunct/>
        <w:topLinePunct w:val="0"/>
        <w:autoSpaceDE/>
        <w:autoSpaceDN/>
        <w:bidi w:val="0"/>
        <w:adjustRightInd w:val="0"/>
        <w:snapToGrid w:val="0"/>
        <w:spacing w:line="400" w:lineRule="exact"/>
        <w:ind w:left="0" w:leftChars="0" w:right="0" w:firstLine="420" w:firstLineChars="200"/>
        <w:textAlignment w:val="auto"/>
        <w:rPr>
          <w:rFonts w:hint="default" w:ascii="方正书宋简体" w:hAnsi="方正书宋简体" w:eastAsia="方正书宋简体" w:cs="方正书宋简体"/>
          <w:sz w:val="21"/>
          <w:szCs w:val="21"/>
          <w:lang w:val="en-US" w:eastAsia="zh-CN"/>
        </w:rPr>
      </w:pPr>
      <w:r>
        <w:rPr>
          <w:rFonts w:hint="eastAsia" w:ascii="方正书宋简体" w:hAnsi="方正书宋简体" w:eastAsia="方正书宋简体" w:cs="方正书宋简体"/>
          <w:color w:val="auto"/>
          <w:sz w:val="21"/>
          <w:szCs w:val="21"/>
        </w:rPr>
        <w:t>本办法自</w:t>
      </w:r>
      <w:r>
        <w:rPr>
          <w:rFonts w:hint="eastAsia" w:ascii="方正书宋简体" w:hAnsi="方正书宋简体" w:eastAsia="方正书宋简体" w:cs="方正书宋简体"/>
          <w:color w:val="auto"/>
          <w:sz w:val="21"/>
          <w:szCs w:val="21"/>
          <w:lang w:val="en-US" w:eastAsia="zh-CN"/>
        </w:rPr>
        <w:t>公布之日</w:t>
      </w:r>
      <w:r>
        <w:rPr>
          <w:rFonts w:hint="eastAsia" w:ascii="方正书宋简体" w:hAnsi="方正书宋简体" w:eastAsia="方正书宋简体" w:cs="方正书宋简体"/>
          <w:color w:val="auto"/>
          <w:sz w:val="21"/>
          <w:szCs w:val="21"/>
        </w:rPr>
        <w:t>起</w:t>
      </w:r>
      <w:r>
        <w:rPr>
          <w:rFonts w:hint="eastAsia" w:ascii="方正书宋简体" w:hAnsi="方正书宋简体" w:eastAsia="方正书宋简体" w:cs="方正书宋简体"/>
          <w:color w:val="auto"/>
          <w:sz w:val="21"/>
          <w:szCs w:val="21"/>
          <w:lang w:val="en-US" w:eastAsia="zh-CN"/>
        </w:rPr>
        <w:t>施</w:t>
      </w:r>
      <w:r>
        <w:rPr>
          <w:rFonts w:hint="eastAsia" w:ascii="方正书宋简体" w:hAnsi="方正书宋简体" w:eastAsia="方正书宋简体" w:cs="方正书宋简体"/>
          <w:color w:val="auto"/>
          <w:sz w:val="21"/>
          <w:szCs w:val="21"/>
        </w:rPr>
        <w:t>行。</w:t>
      </w:r>
      <w:r>
        <w:rPr>
          <w:rFonts w:hint="eastAsia" w:ascii="方正书宋简体" w:hAnsi="方正书宋简体" w:eastAsia="方正书宋简体" w:cs="方正书宋简体"/>
          <w:sz w:val="21"/>
          <w:szCs w:val="21"/>
          <w:lang w:val="en-US" w:eastAsia="zh-CN"/>
        </w:rPr>
        <w:t>本办法由学生处负责解释。</w:t>
      </w:r>
    </w:p>
    <w:p w14:paraId="0150B6B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outlineLvl w:val="9"/>
        <w:rPr>
          <w:rFonts w:hint="eastAsia" w:ascii="方正书宋简体" w:hAnsi="方正书宋简体" w:eastAsia="方正书宋简体" w:cs="方正书宋简体"/>
          <w:b w:val="0"/>
          <w:bCs/>
          <w:sz w:val="21"/>
          <w:szCs w:val="21"/>
          <w:lang w:val="en-US" w:eastAsia="zh-CN"/>
        </w:rPr>
      </w:pPr>
      <w:r>
        <w:rPr>
          <w:rFonts w:hint="eastAsia" w:ascii="方正书宋简体" w:hAnsi="方正书宋简体" w:eastAsia="方正书宋简体" w:cs="方正书宋简体"/>
          <w:b w:val="0"/>
          <w:bCs/>
          <w:sz w:val="21"/>
          <w:szCs w:val="21"/>
          <w:lang w:val="en-US" w:eastAsia="zh-CN"/>
        </w:rPr>
        <w:br w:type="page"/>
      </w:r>
      <w:bookmarkStart w:id="297" w:name="_GoBack"/>
      <w:bookmarkEnd w:id="297"/>
    </w:p>
    <w:p w14:paraId="65A11473">
      <w:pPr>
        <w:pStyle w:val="2"/>
        <w:rPr>
          <w:rFonts w:hint="eastAsia"/>
        </w:rPr>
      </w:pPr>
      <w:bookmarkStart w:id="281" w:name="_Toc19499"/>
      <w:bookmarkStart w:id="282" w:name="_Toc13759"/>
      <w:bookmarkStart w:id="283" w:name="_Toc8045"/>
      <w:bookmarkStart w:id="284" w:name="_Toc5854"/>
      <w:bookmarkStart w:id="285" w:name="_Toc1052"/>
      <w:bookmarkStart w:id="286" w:name="_Toc27430"/>
      <w:bookmarkStart w:id="287" w:name="_Toc15023"/>
      <w:bookmarkStart w:id="288" w:name="_Toc12548"/>
      <w:r>
        <w:rPr>
          <w:rFonts w:hint="eastAsia"/>
          <w:lang w:eastAsia="zh-CN"/>
        </w:rPr>
        <w:t>安徽电气工程职业技术</w:t>
      </w:r>
      <w:r>
        <w:rPr>
          <w:rFonts w:hint="eastAsia"/>
        </w:rPr>
        <w:t>学院</w:t>
      </w:r>
      <w:bookmarkEnd w:id="281"/>
      <w:bookmarkEnd w:id="282"/>
      <w:bookmarkEnd w:id="283"/>
      <w:bookmarkEnd w:id="284"/>
      <w:bookmarkEnd w:id="285"/>
      <w:bookmarkEnd w:id="286"/>
      <w:bookmarkEnd w:id="287"/>
      <w:bookmarkEnd w:id="288"/>
    </w:p>
    <w:p w14:paraId="2A770790">
      <w:pPr>
        <w:pStyle w:val="2"/>
        <w:rPr>
          <w:rFonts w:hint="eastAsia"/>
        </w:rPr>
      </w:pPr>
      <w:bookmarkStart w:id="289" w:name="_Toc1342"/>
      <w:bookmarkStart w:id="290" w:name="_Toc17890"/>
      <w:bookmarkStart w:id="291" w:name="_Toc31411"/>
      <w:bookmarkStart w:id="292" w:name="_Toc8762"/>
      <w:bookmarkStart w:id="293" w:name="_Toc9643"/>
      <w:bookmarkStart w:id="294" w:name="_Toc29488"/>
      <w:bookmarkStart w:id="295" w:name="_Toc32072"/>
      <w:bookmarkStart w:id="296" w:name="_Toc8169"/>
      <w:r>
        <w:rPr>
          <w:rFonts w:hint="eastAsia"/>
        </w:rPr>
        <w:t>大学生“十佳百星”评选</w:t>
      </w:r>
      <w:r>
        <w:rPr>
          <w:rFonts w:hint="eastAsia"/>
          <w:lang w:eastAsia="zh-CN"/>
        </w:rPr>
        <w:t>办法</w:t>
      </w:r>
      <w:bookmarkEnd w:id="289"/>
      <w:bookmarkEnd w:id="290"/>
      <w:bookmarkEnd w:id="291"/>
      <w:bookmarkEnd w:id="292"/>
      <w:bookmarkEnd w:id="293"/>
      <w:bookmarkEnd w:id="294"/>
      <w:bookmarkEnd w:id="295"/>
      <w:bookmarkEnd w:id="296"/>
    </w:p>
    <w:p w14:paraId="13AFF711">
      <w:pPr>
        <w:keepNext w:val="0"/>
        <w:keepLines w:val="0"/>
        <w:pageBreakBefore w:val="0"/>
        <w:widowControl w:val="0"/>
        <w:kinsoku/>
        <w:wordWrap/>
        <w:overflowPunct/>
        <w:topLinePunct w:val="0"/>
        <w:autoSpaceDE/>
        <w:autoSpaceDN/>
        <w:bidi w:val="0"/>
        <w:adjustRightInd/>
        <w:snapToGrid/>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p>
    <w:p w14:paraId="2A24F00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为进一步加强和改进我校大学生思想政治教育工作，全面推进素质教育，营造积极向上的学习生活氛围，培养一批德、智、体、美、劳全面发展的优秀学生，宣传展示我校优秀大学生的风采，发挥优秀学生的典型示范和激励引导作用，开展“十佳百星”大学生评选活动</w:t>
      </w:r>
      <w:r>
        <w:rPr>
          <w:rFonts w:hint="eastAsia" w:ascii="方正书宋简体" w:hAnsi="方正书宋简体" w:eastAsia="方正书宋简体" w:cs="方正书宋简体"/>
          <w:sz w:val="21"/>
          <w:szCs w:val="21"/>
          <w:lang w:val="en-US" w:eastAsia="zh-CN"/>
        </w:rPr>
        <w:t>并</w:t>
      </w:r>
      <w:r>
        <w:rPr>
          <w:rFonts w:hint="eastAsia" w:ascii="方正书宋简体" w:hAnsi="方正书宋简体" w:eastAsia="方正书宋简体" w:cs="方正书宋简体"/>
          <w:sz w:val="21"/>
          <w:szCs w:val="21"/>
        </w:rPr>
        <w:t>予以表彰。</w:t>
      </w:r>
    </w:p>
    <w:p w14:paraId="7DA90A7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left"/>
        <w:textAlignment w:val="auto"/>
        <w:rPr>
          <w:rFonts w:hint="eastAsia" w:ascii="方正书宋简体" w:hAnsi="方正书宋简体" w:eastAsia="方正书宋简体" w:cs="方正书宋简体"/>
          <w:b/>
          <w:bCs/>
          <w:sz w:val="21"/>
          <w:szCs w:val="21"/>
        </w:rPr>
      </w:pPr>
      <w:r>
        <w:rPr>
          <w:rFonts w:hint="eastAsia" w:ascii="方正书宋简体" w:hAnsi="方正书宋简体" w:eastAsia="方正书宋简体" w:cs="方正书宋简体"/>
          <w:b/>
          <w:bCs/>
          <w:sz w:val="21"/>
          <w:szCs w:val="21"/>
        </w:rPr>
        <w:t>一、评选项目</w:t>
      </w:r>
    </w:p>
    <w:p w14:paraId="5FB66F9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十佳班长团支书、十佳技能之星、十佳创新创业之星、十佳课堂笔记、十佳道德之星、十佳自强之星、十佳</w:t>
      </w:r>
      <w:r>
        <w:rPr>
          <w:rFonts w:hint="eastAsia" w:ascii="方正书宋简体" w:hAnsi="方正书宋简体" w:eastAsia="方正书宋简体" w:cs="方正书宋简体"/>
          <w:sz w:val="21"/>
          <w:szCs w:val="21"/>
          <w:lang w:eastAsia="zh-CN"/>
        </w:rPr>
        <w:t>宿舍</w:t>
      </w:r>
      <w:r>
        <w:rPr>
          <w:rFonts w:hint="eastAsia" w:ascii="方正书宋简体" w:hAnsi="方正书宋简体" w:eastAsia="方正书宋简体" w:cs="方正书宋简体"/>
          <w:sz w:val="21"/>
          <w:szCs w:val="21"/>
        </w:rPr>
        <w:t>长、十佳进步之星、十佳志愿之星、十佳文体之星。</w:t>
      </w:r>
    </w:p>
    <w:p w14:paraId="193ED5C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left"/>
        <w:textAlignment w:val="auto"/>
        <w:rPr>
          <w:rFonts w:hint="eastAsia" w:ascii="方正书宋简体" w:hAnsi="方正书宋简体" w:eastAsia="方正书宋简体" w:cs="方正书宋简体"/>
          <w:b/>
          <w:bCs/>
          <w:sz w:val="21"/>
          <w:szCs w:val="21"/>
        </w:rPr>
      </w:pPr>
      <w:r>
        <w:rPr>
          <w:rFonts w:hint="eastAsia" w:ascii="方正书宋简体" w:hAnsi="方正书宋简体" w:eastAsia="方正书宋简体" w:cs="方正书宋简体"/>
          <w:b/>
          <w:bCs/>
          <w:sz w:val="21"/>
          <w:szCs w:val="21"/>
        </w:rPr>
        <w:t>二、评选方案</w:t>
      </w:r>
    </w:p>
    <w:p w14:paraId="5FC6E84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（一）十佳班长团支书</w:t>
      </w:r>
    </w:p>
    <w:p w14:paraId="22C114F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切实加强基层团组织建设，在基层团组织中形成创先争优的浓厚氛围，激励团干部不断提高自身素质，发挥模范带头作用；加强班集体建设，培养班级主要学生干部，发挥班长的积极性、主动性和创造性，从而更好地服务同学，促进班风、学风建设。</w:t>
      </w:r>
    </w:p>
    <w:p w14:paraId="226A451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评选流程：由各系团总支负责组织。在二、三年级中产生</w:t>
      </w:r>
      <w:r>
        <w:rPr>
          <w:rFonts w:hint="eastAsia" w:ascii="方正书宋简体" w:hAnsi="方正书宋简体" w:eastAsia="方正书宋简体" w:cs="方正书宋简体"/>
          <w:sz w:val="21"/>
          <w:szCs w:val="21"/>
          <w:lang w:val="en-US" w:eastAsia="zh-CN"/>
        </w:rPr>
        <w:t>十佳</w:t>
      </w:r>
      <w:r>
        <w:rPr>
          <w:rFonts w:hint="eastAsia" w:ascii="方正书宋简体" w:hAnsi="方正书宋简体" w:eastAsia="方正书宋简体" w:cs="方正书宋简体"/>
          <w:sz w:val="21"/>
          <w:szCs w:val="21"/>
        </w:rPr>
        <w:t>班长或团支书，二、三年级分配名额为6、4</w:t>
      </w:r>
      <w:r>
        <w:rPr>
          <w:rFonts w:hint="eastAsia" w:ascii="方正书宋简体" w:hAnsi="方正书宋简体" w:eastAsia="方正书宋简体" w:cs="方正书宋简体"/>
          <w:sz w:val="21"/>
          <w:szCs w:val="21"/>
          <w:lang w:eastAsia="zh-CN"/>
        </w:rPr>
        <w:t>。</w:t>
      </w:r>
      <w:r>
        <w:rPr>
          <w:rFonts w:hint="eastAsia" w:ascii="方正书宋简体" w:hAnsi="方正书宋简体" w:eastAsia="方正书宋简体" w:cs="方正书宋简体"/>
          <w:sz w:val="21"/>
          <w:szCs w:val="21"/>
        </w:rPr>
        <w:t>申请者提供材料，系团总支组织初审后由院团委</w:t>
      </w:r>
      <w:r>
        <w:rPr>
          <w:rFonts w:hint="eastAsia" w:ascii="方正书宋简体" w:hAnsi="方正书宋简体" w:eastAsia="方正书宋简体" w:cs="方正书宋简体"/>
          <w:sz w:val="21"/>
          <w:szCs w:val="21"/>
          <w:lang w:val="en-US" w:eastAsia="zh-CN"/>
        </w:rPr>
        <w:t>组织评选</w:t>
      </w:r>
      <w:r>
        <w:rPr>
          <w:rFonts w:hint="eastAsia" w:ascii="方正书宋简体" w:hAnsi="方正书宋简体" w:eastAsia="方正书宋简体" w:cs="方正书宋简体"/>
          <w:sz w:val="21"/>
          <w:szCs w:val="21"/>
        </w:rPr>
        <w:t>。</w:t>
      </w:r>
    </w:p>
    <w:p w14:paraId="2CCAD67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（二）十佳技能之星</w:t>
      </w:r>
    </w:p>
    <w:p w14:paraId="556C5E5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主旨：体现职业院校特色，引导学生积极参与科技、职业技能竞赛活动等，提高大学生的职业能力。</w:t>
      </w:r>
    </w:p>
    <w:p w14:paraId="547E1FB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评选流程：由各系团总支负责组织初审。从积极参加专业社团活动、协助专业教师参与实验实训室建设与维护、参加校内外技能大赛的学生中产生，系团总支组织初审后由院团委</w:t>
      </w:r>
      <w:r>
        <w:rPr>
          <w:rFonts w:hint="eastAsia" w:ascii="方正书宋简体" w:hAnsi="方正书宋简体" w:eastAsia="方正书宋简体" w:cs="方正书宋简体"/>
          <w:sz w:val="21"/>
          <w:szCs w:val="21"/>
          <w:lang w:val="en-US" w:eastAsia="zh-CN"/>
        </w:rPr>
        <w:t>组织评选</w:t>
      </w:r>
      <w:r>
        <w:rPr>
          <w:rFonts w:hint="eastAsia" w:ascii="方正书宋简体" w:hAnsi="方正书宋简体" w:eastAsia="方正书宋简体" w:cs="方正书宋简体"/>
          <w:sz w:val="21"/>
          <w:szCs w:val="21"/>
        </w:rPr>
        <w:t>。</w:t>
      </w:r>
    </w:p>
    <w:p w14:paraId="414CA18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（三）十佳创新创业之星</w:t>
      </w:r>
    </w:p>
    <w:p w14:paraId="07F01E3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w:t>
      </w:r>
      <w:r>
        <w:rPr>
          <w:rFonts w:hint="eastAsia" w:ascii="方正书宋简体" w:hAnsi="方正书宋简体" w:eastAsia="方正书宋简体" w:cs="方正书宋简体"/>
          <w:sz w:val="21"/>
          <w:szCs w:val="21"/>
          <w:lang w:eastAsia="zh-CN"/>
        </w:rPr>
        <w:t>：</w:t>
      </w:r>
      <w:r>
        <w:rPr>
          <w:rFonts w:hint="eastAsia" w:ascii="方正书宋简体" w:hAnsi="方正书宋简体" w:eastAsia="方正书宋简体" w:cs="方正书宋简体"/>
          <w:sz w:val="21"/>
          <w:szCs w:val="21"/>
        </w:rPr>
        <w:t>培养学生的创新创业意识，提高学生的创新思维能力和实践能力。</w:t>
      </w:r>
    </w:p>
    <w:p w14:paraId="21F2921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评选流程；由各系团总支负责组织初审。推荐富有创新精神，积极参加创新实践活动，具有钻研精神和实践能力或者具有已经运营的创业项目的学生，系团总支组织初审后由院团委</w:t>
      </w:r>
      <w:r>
        <w:rPr>
          <w:rFonts w:hint="eastAsia" w:ascii="方正书宋简体" w:hAnsi="方正书宋简体" w:eastAsia="方正书宋简体" w:cs="方正书宋简体"/>
          <w:sz w:val="21"/>
          <w:szCs w:val="21"/>
          <w:lang w:val="en-US" w:eastAsia="zh-CN"/>
        </w:rPr>
        <w:t>组织评选</w:t>
      </w:r>
      <w:r>
        <w:rPr>
          <w:rFonts w:hint="eastAsia" w:ascii="方正书宋简体" w:hAnsi="方正书宋简体" w:eastAsia="方正书宋简体" w:cs="方正书宋简体"/>
          <w:sz w:val="21"/>
          <w:szCs w:val="21"/>
        </w:rPr>
        <w:t>。</w:t>
      </w:r>
    </w:p>
    <w:p w14:paraId="7245609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（四）十佳课堂笔记</w:t>
      </w:r>
    </w:p>
    <w:p w14:paraId="469966B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主旨：为促进学生重视第一课堂学习，调动同学们的学习积极性，提高课堂学习效果和学习质量，培养学生记笔记的好习惯，并将优秀的学习笔记进行校内展示，传递好的学习经验。</w:t>
      </w:r>
    </w:p>
    <w:p w14:paraId="326C19B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评选流程：由各系团总支负责组织初审。主要面向二、三年级学生开展评选，由申请者提供课堂笔记，通过观摩投票方式产生，院团委终审。</w:t>
      </w:r>
    </w:p>
    <w:p w14:paraId="7F95A49C">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（五）十佳道德之星</w:t>
      </w:r>
    </w:p>
    <w:p w14:paraId="625AEB3A">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弘扬社会主义核心价值观，培养同学们模范遵守公民基本道德规范，在助人为乐、尊师爱生、拾金不昧、见义勇为、文明创建、诚实守信、热爱公益等方面表现突出、师生认可度高，能在引领校园文明风尚中发挥积极作用。</w:t>
      </w:r>
    </w:p>
    <w:p w14:paraId="165DA61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评选流程：由各系团总支负责组织初审。主要在二、三年级学生中产生，由申请者提供申请材料，自下而上由班级团支部、系团总支推选，系团总支初审后由院团委</w:t>
      </w:r>
      <w:r>
        <w:rPr>
          <w:rFonts w:hint="eastAsia" w:ascii="方正书宋简体" w:hAnsi="方正书宋简体" w:eastAsia="方正书宋简体" w:cs="方正书宋简体"/>
          <w:sz w:val="21"/>
          <w:szCs w:val="21"/>
          <w:lang w:val="en-US" w:eastAsia="zh-CN"/>
        </w:rPr>
        <w:t>组织评选</w:t>
      </w:r>
      <w:r>
        <w:rPr>
          <w:rFonts w:hint="eastAsia" w:ascii="方正书宋简体" w:hAnsi="方正书宋简体" w:eastAsia="方正书宋简体" w:cs="方正书宋简体"/>
          <w:sz w:val="21"/>
          <w:szCs w:val="21"/>
        </w:rPr>
        <w:t>。</w:t>
      </w:r>
    </w:p>
    <w:p w14:paraId="7514A2B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（六）十佳自强之星</w:t>
      </w:r>
    </w:p>
    <w:p w14:paraId="7549B4A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主旨：引导和激励家庭经济困难学生自强自立、奋发成才；引导大学生积极参加社会实践活动。</w:t>
      </w:r>
    </w:p>
    <w:p w14:paraId="7EFA0C2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评选流程：由各系团总支负责组织初审。在各系二、三年级中从家庭经济困难的学生中选拔自强自立的优秀学生典型，或选拔积极参与社会实践活动的优秀学生典型，系团总支初审后由院团委</w:t>
      </w:r>
      <w:r>
        <w:rPr>
          <w:rFonts w:hint="eastAsia" w:ascii="方正书宋简体" w:hAnsi="方正书宋简体" w:eastAsia="方正书宋简体" w:cs="方正书宋简体"/>
          <w:sz w:val="21"/>
          <w:szCs w:val="21"/>
          <w:lang w:val="en-US" w:eastAsia="zh-CN"/>
        </w:rPr>
        <w:t>组织评选</w:t>
      </w:r>
      <w:r>
        <w:rPr>
          <w:rFonts w:hint="eastAsia" w:ascii="方正书宋简体" w:hAnsi="方正书宋简体" w:eastAsia="方正书宋简体" w:cs="方正书宋简体"/>
          <w:sz w:val="21"/>
          <w:szCs w:val="21"/>
        </w:rPr>
        <w:t>。</w:t>
      </w:r>
    </w:p>
    <w:p w14:paraId="7186476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（七）十佳</w:t>
      </w:r>
      <w:r>
        <w:rPr>
          <w:rFonts w:hint="eastAsia" w:ascii="方正书宋简体" w:hAnsi="方正书宋简体" w:eastAsia="方正书宋简体" w:cs="方正书宋简体"/>
          <w:sz w:val="21"/>
          <w:szCs w:val="21"/>
          <w:lang w:eastAsia="zh-CN"/>
        </w:rPr>
        <w:t>宿舍</w:t>
      </w:r>
      <w:r>
        <w:rPr>
          <w:rFonts w:hint="eastAsia" w:ascii="方正书宋简体" w:hAnsi="方正书宋简体" w:eastAsia="方正书宋简体" w:cs="方正书宋简体"/>
          <w:sz w:val="21"/>
          <w:szCs w:val="21"/>
        </w:rPr>
        <w:t>长</w:t>
      </w:r>
    </w:p>
    <w:p w14:paraId="7884B11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主旨：发挥</w:t>
      </w:r>
      <w:r>
        <w:rPr>
          <w:rFonts w:hint="eastAsia" w:ascii="方正书宋简体" w:hAnsi="方正书宋简体" w:eastAsia="方正书宋简体" w:cs="方正书宋简体"/>
          <w:sz w:val="21"/>
          <w:szCs w:val="21"/>
          <w:lang w:eastAsia="zh-CN"/>
        </w:rPr>
        <w:t>宿舍</w:t>
      </w:r>
      <w:r>
        <w:rPr>
          <w:rFonts w:hint="eastAsia" w:ascii="方正书宋简体" w:hAnsi="方正书宋简体" w:eastAsia="方正书宋简体" w:cs="方正书宋简体"/>
          <w:sz w:val="21"/>
          <w:szCs w:val="21"/>
        </w:rPr>
        <w:t>长在宿舍管理中的积极作用，营造安全卫生舒适的生活环境。</w:t>
      </w:r>
    </w:p>
    <w:p w14:paraId="3BEA5C9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评选流程：由院学生会生活保障部负责组织。原则上在上学年评选的“优秀</w:t>
      </w:r>
      <w:r>
        <w:rPr>
          <w:rFonts w:hint="eastAsia" w:ascii="方正书宋简体" w:hAnsi="方正书宋简体" w:eastAsia="方正书宋简体" w:cs="方正书宋简体"/>
          <w:sz w:val="21"/>
          <w:szCs w:val="21"/>
          <w:lang w:eastAsia="zh-CN"/>
        </w:rPr>
        <w:t>宿舍</w:t>
      </w:r>
      <w:r>
        <w:rPr>
          <w:rFonts w:hint="eastAsia" w:ascii="方正书宋简体" w:hAnsi="方正书宋简体" w:eastAsia="方正书宋简体" w:cs="方正书宋简体"/>
          <w:sz w:val="21"/>
          <w:szCs w:val="21"/>
        </w:rPr>
        <w:t>长”中产生，由申请者提交申请材料，院学生会生活保障部根据日常检查结果进行评选，</w:t>
      </w:r>
      <w:r>
        <w:rPr>
          <w:rFonts w:hint="eastAsia" w:ascii="方正书宋简体" w:hAnsi="方正书宋简体" w:eastAsia="方正书宋简体" w:cs="方正书宋简体"/>
          <w:sz w:val="21"/>
          <w:szCs w:val="21"/>
          <w:lang w:val="en-US" w:eastAsia="zh-CN"/>
        </w:rPr>
        <w:t>各系</w:t>
      </w:r>
      <w:r>
        <w:rPr>
          <w:rFonts w:hint="eastAsia" w:ascii="方正书宋简体" w:hAnsi="方正书宋简体" w:eastAsia="方正书宋简体" w:cs="方正书宋简体"/>
          <w:sz w:val="21"/>
          <w:szCs w:val="21"/>
        </w:rPr>
        <w:t>团总支初审后院团委终审。</w:t>
      </w:r>
    </w:p>
    <w:p w14:paraId="268591F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（八）十佳进步之星</w:t>
      </w:r>
    </w:p>
    <w:p w14:paraId="3102633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主旨：培养学生争先进位的意识，发掘那些在学习成绩、素质拓展活动和遵章守纪等方面较前一学年有明显进步的学生，以激励他们和其他同学树立更高的目标，形成你追我赶的良好氛围。</w:t>
      </w:r>
    </w:p>
    <w:p w14:paraId="25C5F90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评选流程：由各系团总支负责组织初审并提供取得进步的相关数据和素材，团委评选终审。</w:t>
      </w:r>
    </w:p>
    <w:p w14:paraId="334C4BF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（九）十佳志愿之星</w:t>
      </w:r>
    </w:p>
    <w:p w14:paraId="23BB782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主旨：鼓励大学生积极参与志愿服务事业，弘扬“奉献、友爱、互助、进步”的志愿者精神，更好地服务校园、服务社会，推动文明校园建设。</w:t>
      </w:r>
    </w:p>
    <w:p w14:paraId="676CBCA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评选流程：由“善小”志愿者服务队与院团委联合组织初审。学生个人提出申请或组织推荐，院团委终审。</w:t>
      </w:r>
    </w:p>
    <w:p w14:paraId="7E1DCE0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（十）十佳文体之星</w:t>
      </w:r>
    </w:p>
    <w:p w14:paraId="2F3EDF6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主旨：鼓励学生积极参加文艺、体育、阅读、文学写作等第二课堂活动，丰富个人精神文化生活，加强大学生素质教育，积极为班集体和学校赢得荣誉。</w:t>
      </w:r>
    </w:p>
    <w:p w14:paraId="5CC8555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评选流程：由院学生会文艺宣传部、体育部负责组织初审。由学生个人申请，主要根据学生平时参加文体活动情况和在各种文体竞赛</w:t>
      </w:r>
      <w:r>
        <w:rPr>
          <w:rFonts w:hint="eastAsia" w:ascii="方正书宋简体" w:hAnsi="方正书宋简体" w:eastAsia="方正书宋简体" w:cs="方正书宋简体"/>
          <w:sz w:val="21"/>
          <w:szCs w:val="21"/>
          <w:lang w:val="en-US" w:eastAsia="zh-CN"/>
        </w:rPr>
        <w:t>中</w:t>
      </w:r>
      <w:r>
        <w:rPr>
          <w:rFonts w:hint="eastAsia" w:ascii="方正书宋简体" w:hAnsi="方正书宋简体" w:eastAsia="方正书宋简体" w:cs="方正书宋简体"/>
          <w:sz w:val="21"/>
          <w:szCs w:val="21"/>
        </w:rPr>
        <w:t>取得的成绩评选产生，院团委终审。</w:t>
      </w:r>
    </w:p>
    <w:p w14:paraId="013B916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left"/>
        <w:textAlignment w:val="auto"/>
        <w:rPr>
          <w:rFonts w:hint="eastAsia" w:ascii="方正书宋简体" w:hAnsi="方正书宋简体" w:eastAsia="方正书宋简体" w:cs="方正书宋简体"/>
          <w:b/>
          <w:bCs/>
          <w:sz w:val="21"/>
          <w:szCs w:val="21"/>
        </w:rPr>
      </w:pPr>
      <w:r>
        <w:rPr>
          <w:rFonts w:hint="eastAsia" w:ascii="方正书宋简体" w:hAnsi="方正书宋简体" w:eastAsia="方正书宋简体" w:cs="方正书宋简体"/>
          <w:b/>
          <w:bCs/>
          <w:sz w:val="21"/>
          <w:szCs w:val="21"/>
        </w:rPr>
        <w:t>三、有关要求</w:t>
      </w:r>
    </w:p>
    <w:p w14:paraId="3B465A1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各有关部门、各系、各级团学组织要在日常学习、工作中挖掘典型、收集素材，保证评选的真实性；院团委、系团总支要加强对活动的监督和指导，保证评选的公正性。在评选周期范围内，凡因违反校规校纪受到警告及以上处分者，不得参与“十佳百星”大学生的评选。</w:t>
      </w:r>
    </w:p>
    <w:p w14:paraId="7F44276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left"/>
        <w:textAlignment w:val="auto"/>
        <w:rPr>
          <w:rFonts w:hint="eastAsia" w:ascii="方正书宋简体" w:hAnsi="方正书宋简体" w:eastAsia="方正书宋简体" w:cs="方正书宋简体"/>
          <w:b/>
          <w:bCs/>
          <w:sz w:val="21"/>
          <w:szCs w:val="21"/>
        </w:rPr>
      </w:pPr>
      <w:r>
        <w:rPr>
          <w:rFonts w:hint="eastAsia" w:ascii="方正书宋简体" w:hAnsi="方正书宋简体" w:eastAsia="方正书宋简体" w:cs="方正书宋简体"/>
          <w:b/>
          <w:bCs/>
          <w:sz w:val="21"/>
          <w:szCs w:val="21"/>
        </w:rPr>
        <w:t>四、奖励办法</w:t>
      </w:r>
    </w:p>
    <w:p w14:paraId="0ADBD01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jc w:val="left"/>
        <w:textAlignment w:val="auto"/>
        <w:outlineLvl w:val="9"/>
        <w:rPr>
          <w:rFonts w:hint="eastAsia" w:ascii="方正书宋简体" w:hAnsi="方正书宋简体" w:eastAsia="方正书宋简体" w:cs="方正书宋简体"/>
          <w:b w:val="0"/>
          <w:bCs/>
          <w:sz w:val="21"/>
          <w:szCs w:val="21"/>
          <w:lang w:val="en-US" w:eastAsia="zh-CN"/>
        </w:rPr>
        <w:sectPr>
          <w:pgSz w:w="7937" w:h="11905"/>
          <w:pgMar w:top="1417" w:right="1134" w:bottom="1304" w:left="1134" w:header="850" w:footer="992" w:gutter="0"/>
          <w:pgNumType w:fmt="decimal"/>
          <w:cols w:space="0" w:num="1"/>
          <w:rtlGutter w:val="0"/>
          <w:docGrid w:type="lines" w:linePitch="340" w:charSpace="0"/>
        </w:sectPr>
      </w:pPr>
      <w:r>
        <w:rPr>
          <w:rFonts w:hint="eastAsia" w:ascii="方正书宋简体" w:hAnsi="方正书宋简体" w:eastAsia="方正书宋简体" w:cs="方正书宋简体"/>
          <w:sz w:val="21"/>
          <w:szCs w:val="21"/>
        </w:rPr>
        <w:t>授予安徽电气工程职业技术学院“十佳百星”对应项目的荣誉称号和一定的物质奖励；院团委网站、团委微博、宣传橱窗，广播站等平台</w:t>
      </w:r>
      <w:r>
        <w:rPr>
          <w:rFonts w:hint="eastAsia" w:ascii="方正书宋简体" w:hAnsi="方正书宋简体" w:eastAsia="方正书宋简体" w:cs="方正书宋简体"/>
          <w:sz w:val="21"/>
          <w:szCs w:val="21"/>
          <w:lang w:val="en-US" w:eastAsia="zh-CN"/>
        </w:rPr>
        <w:t>宣传</w:t>
      </w:r>
      <w:r>
        <w:rPr>
          <w:rFonts w:hint="eastAsia" w:ascii="方正书宋简体" w:hAnsi="方正书宋简体" w:eastAsia="方正书宋简体" w:cs="方正书宋简体"/>
          <w:sz w:val="21"/>
          <w:szCs w:val="21"/>
        </w:rPr>
        <w:t>其先进事迹；同等条件下，在各类先进个人评比时优先考虑。</w:t>
      </w:r>
    </w:p>
    <w:p w14:paraId="7A9017A7">
      <w:pPr>
        <w:pageBreakBefore w:val="0"/>
        <w:overflowPunct/>
        <w:topLinePunct w:val="0"/>
        <w:bidi w:val="0"/>
        <w:adjustRightInd w:val="0"/>
        <w:snapToGrid w:val="0"/>
        <w:spacing w:line="400" w:lineRule="exact"/>
        <w:ind w:left="0" w:leftChars="0" w:right="0" w:firstLine="0" w:firstLineChars="0"/>
        <w:outlineLvl w:val="0"/>
        <w:rPr>
          <w:rFonts w:hint="eastAsia" w:ascii="方正书宋简体" w:hAnsi="方正书宋简体" w:eastAsia="方正书宋简体" w:cs="方正书宋简体"/>
          <w:b w:val="0"/>
          <w:bCs/>
          <w:sz w:val="21"/>
          <w:szCs w:val="21"/>
          <w:lang w:val="en-US" w:eastAsia="zh-CN"/>
        </w:rPr>
      </w:pPr>
    </w:p>
    <w:sectPr>
      <w:pgSz w:w="7937" w:h="11905"/>
      <w:pgMar w:top="1417" w:right="1134" w:bottom="1304" w:left="1134" w:header="850" w:footer="992" w:gutter="0"/>
      <w:pgNumType w:fmt="decimal"/>
      <w:cols w:space="0" w:num="1"/>
      <w:rtlGutter w:val="0"/>
      <w:docGrid w:type="lines" w:linePitch="3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书宋简体">
    <w:altName w:val="宋体"/>
    <w:panose1 w:val="03000509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75D2A">
    <w:pPr>
      <w:spacing w:before="1" w:line="189" w:lineRule="auto"/>
      <w:rPr>
        <w:rFonts w:ascii="宋体" w:hAnsi="宋体" w:eastAsia="宋体" w:cs="宋体"/>
        <w:sz w:val="27"/>
        <w:szCs w:val="27"/>
      </w:rPr>
    </w:pPr>
    <w:r>
      <w:rPr>
        <w:sz w:val="2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CA9DEE">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CA9DEE">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115</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0EA50">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trackRevisions w:val="1"/>
  <w:documentProtection w:enforcement="0"/>
  <w:defaultTabStop w:val="420"/>
  <w:drawingGridHorizontalSpacing w:val="210"/>
  <w:drawingGridVerticalSpacing w:val="17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yZjgyNDJlMmIxODFkNzNjOGM2MzkyNzg0MjQ3ZjQifQ=="/>
  </w:docVars>
  <w:rsids>
    <w:rsidRoot w:val="00172A27"/>
    <w:rsid w:val="000A4237"/>
    <w:rsid w:val="002C35E0"/>
    <w:rsid w:val="008A6D54"/>
    <w:rsid w:val="00D96B9E"/>
    <w:rsid w:val="00E94B0D"/>
    <w:rsid w:val="00EE6D96"/>
    <w:rsid w:val="01785675"/>
    <w:rsid w:val="02007DFB"/>
    <w:rsid w:val="0209190A"/>
    <w:rsid w:val="022479EC"/>
    <w:rsid w:val="02407670"/>
    <w:rsid w:val="02451546"/>
    <w:rsid w:val="02596A78"/>
    <w:rsid w:val="025B62E0"/>
    <w:rsid w:val="02696283"/>
    <w:rsid w:val="02AF304E"/>
    <w:rsid w:val="034D5B58"/>
    <w:rsid w:val="0432694D"/>
    <w:rsid w:val="04914F16"/>
    <w:rsid w:val="051B13DE"/>
    <w:rsid w:val="05545D15"/>
    <w:rsid w:val="059213A8"/>
    <w:rsid w:val="05A32624"/>
    <w:rsid w:val="06B3208A"/>
    <w:rsid w:val="070D149F"/>
    <w:rsid w:val="071C6236"/>
    <w:rsid w:val="07B64236"/>
    <w:rsid w:val="07CC3ABF"/>
    <w:rsid w:val="087F5E7D"/>
    <w:rsid w:val="094D4A62"/>
    <w:rsid w:val="09D92691"/>
    <w:rsid w:val="09EA50CF"/>
    <w:rsid w:val="0A3C1656"/>
    <w:rsid w:val="0A466946"/>
    <w:rsid w:val="0D31160C"/>
    <w:rsid w:val="0D3F1F31"/>
    <w:rsid w:val="0DAD0977"/>
    <w:rsid w:val="0F4A0448"/>
    <w:rsid w:val="0F773AEC"/>
    <w:rsid w:val="0FA25EE9"/>
    <w:rsid w:val="0FA410D2"/>
    <w:rsid w:val="11CE1A42"/>
    <w:rsid w:val="1279575E"/>
    <w:rsid w:val="12E852DF"/>
    <w:rsid w:val="12F72695"/>
    <w:rsid w:val="136F378E"/>
    <w:rsid w:val="13900769"/>
    <w:rsid w:val="13EB2467"/>
    <w:rsid w:val="14363136"/>
    <w:rsid w:val="148E15C6"/>
    <w:rsid w:val="14AA65E4"/>
    <w:rsid w:val="14ED4CB2"/>
    <w:rsid w:val="152542DF"/>
    <w:rsid w:val="15AC1D9E"/>
    <w:rsid w:val="15C063FE"/>
    <w:rsid w:val="15EF6801"/>
    <w:rsid w:val="15F662CE"/>
    <w:rsid w:val="160F623F"/>
    <w:rsid w:val="16252961"/>
    <w:rsid w:val="1633734D"/>
    <w:rsid w:val="16986B5E"/>
    <w:rsid w:val="17435337"/>
    <w:rsid w:val="1743544F"/>
    <w:rsid w:val="178C6A30"/>
    <w:rsid w:val="178F39AF"/>
    <w:rsid w:val="18245CDA"/>
    <w:rsid w:val="18247EA8"/>
    <w:rsid w:val="183E0A52"/>
    <w:rsid w:val="190642A0"/>
    <w:rsid w:val="19436102"/>
    <w:rsid w:val="19532B19"/>
    <w:rsid w:val="1A707A6D"/>
    <w:rsid w:val="1B423649"/>
    <w:rsid w:val="1B6437FD"/>
    <w:rsid w:val="1C7217BC"/>
    <w:rsid w:val="1DA41B2E"/>
    <w:rsid w:val="1DD94587"/>
    <w:rsid w:val="1DDE692B"/>
    <w:rsid w:val="1E1058E6"/>
    <w:rsid w:val="1ECF062D"/>
    <w:rsid w:val="1EE3708C"/>
    <w:rsid w:val="1EE937D9"/>
    <w:rsid w:val="1FA03EF2"/>
    <w:rsid w:val="1FC70D56"/>
    <w:rsid w:val="1FDB78E0"/>
    <w:rsid w:val="20614489"/>
    <w:rsid w:val="20D76C00"/>
    <w:rsid w:val="210C7C53"/>
    <w:rsid w:val="223C6D39"/>
    <w:rsid w:val="229970D3"/>
    <w:rsid w:val="23244C72"/>
    <w:rsid w:val="236751A2"/>
    <w:rsid w:val="239C19FB"/>
    <w:rsid w:val="23B21D9E"/>
    <w:rsid w:val="23C010B4"/>
    <w:rsid w:val="2425685A"/>
    <w:rsid w:val="259A0C86"/>
    <w:rsid w:val="25C518BC"/>
    <w:rsid w:val="26235823"/>
    <w:rsid w:val="26650780"/>
    <w:rsid w:val="269009DE"/>
    <w:rsid w:val="28881351"/>
    <w:rsid w:val="295D5308"/>
    <w:rsid w:val="2A54313A"/>
    <w:rsid w:val="2BBD4024"/>
    <w:rsid w:val="2BDE299C"/>
    <w:rsid w:val="2BFB1CB9"/>
    <w:rsid w:val="2DE21E01"/>
    <w:rsid w:val="2E0F48DF"/>
    <w:rsid w:val="2EF438B3"/>
    <w:rsid w:val="2F1C6C2E"/>
    <w:rsid w:val="30FD421C"/>
    <w:rsid w:val="320F2B2D"/>
    <w:rsid w:val="322545C2"/>
    <w:rsid w:val="331A740D"/>
    <w:rsid w:val="33576264"/>
    <w:rsid w:val="33E60F9C"/>
    <w:rsid w:val="34F4706D"/>
    <w:rsid w:val="35C021DC"/>
    <w:rsid w:val="3640708F"/>
    <w:rsid w:val="36D57583"/>
    <w:rsid w:val="3729700D"/>
    <w:rsid w:val="375F2433"/>
    <w:rsid w:val="38BE5A74"/>
    <w:rsid w:val="3AEB3AA6"/>
    <w:rsid w:val="3AEF063D"/>
    <w:rsid w:val="3AF37C92"/>
    <w:rsid w:val="3B500062"/>
    <w:rsid w:val="3B9203FF"/>
    <w:rsid w:val="3CB45798"/>
    <w:rsid w:val="3CCC2046"/>
    <w:rsid w:val="3CD13B56"/>
    <w:rsid w:val="3CE1686E"/>
    <w:rsid w:val="3CEC4BFF"/>
    <w:rsid w:val="3D9D4A23"/>
    <w:rsid w:val="3DAF675E"/>
    <w:rsid w:val="3E122463"/>
    <w:rsid w:val="3E547165"/>
    <w:rsid w:val="3E7B0B8E"/>
    <w:rsid w:val="3F584CF9"/>
    <w:rsid w:val="3F625608"/>
    <w:rsid w:val="3F8D0FA5"/>
    <w:rsid w:val="3FCF198F"/>
    <w:rsid w:val="40554F9C"/>
    <w:rsid w:val="407E3FDC"/>
    <w:rsid w:val="40E40C3A"/>
    <w:rsid w:val="41BE244C"/>
    <w:rsid w:val="423B456C"/>
    <w:rsid w:val="431D412A"/>
    <w:rsid w:val="439A14F5"/>
    <w:rsid w:val="440C749E"/>
    <w:rsid w:val="441016A4"/>
    <w:rsid w:val="44134E34"/>
    <w:rsid w:val="455D4659"/>
    <w:rsid w:val="45E26D8B"/>
    <w:rsid w:val="460F05CB"/>
    <w:rsid w:val="46C42CA7"/>
    <w:rsid w:val="47E622AD"/>
    <w:rsid w:val="48641879"/>
    <w:rsid w:val="49C7118E"/>
    <w:rsid w:val="4A323C48"/>
    <w:rsid w:val="4A4E7A5A"/>
    <w:rsid w:val="4AC37F0A"/>
    <w:rsid w:val="4B6C7439"/>
    <w:rsid w:val="4B8007D2"/>
    <w:rsid w:val="4BF00726"/>
    <w:rsid w:val="4D1565FF"/>
    <w:rsid w:val="4D225ECE"/>
    <w:rsid w:val="4D524AEA"/>
    <w:rsid w:val="4D5D17F9"/>
    <w:rsid w:val="4DED6EE6"/>
    <w:rsid w:val="4ED21E89"/>
    <w:rsid w:val="4F596354"/>
    <w:rsid w:val="4FA0418F"/>
    <w:rsid w:val="4FC03563"/>
    <w:rsid w:val="4FE44E23"/>
    <w:rsid w:val="501C51D7"/>
    <w:rsid w:val="51E72C52"/>
    <w:rsid w:val="52572C8C"/>
    <w:rsid w:val="526C5746"/>
    <w:rsid w:val="52F415DE"/>
    <w:rsid w:val="54D057EE"/>
    <w:rsid w:val="57A62B4E"/>
    <w:rsid w:val="57BD2100"/>
    <w:rsid w:val="57EC0DAE"/>
    <w:rsid w:val="598F534E"/>
    <w:rsid w:val="5A037DBC"/>
    <w:rsid w:val="5A086442"/>
    <w:rsid w:val="5A1B7661"/>
    <w:rsid w:val="5A517B3B"/>
    <w:rsid w:val="5B8816A9"/>
    <w:rsid w:val="5B8D78C2"/>
    <w:rsid w:val="5CD02250"/>
    <w:rsid w:val="5CFB03D4"/>
    <w:rsid w:val="5D5F1D58"/>
    <w:rsid w:val="5D712F5B"/>
    <w:rsid w:val="5D9F0F2C"/>
    <w:rsid w:val="5DA15CA9"/>
    <w:rsid w:val="5DFC50BD"/>
    <w:rsid w:val="5E037120"/>
    <w:rsid w:val="5E7A0843"/>
    <w:rsid w:val="5EB26F1F"/>
    <w:rsid w:val="5F0977F9"/>
    <w:rsid w:val="5F6D531F"/>
    <w:rsid w:val="5F896779"/>
    <w:rsid w:val="5FC961B6"/>
    <w:rsid w:val="60A73483"/>
    <w:rsid w:val="610905C4"/>
    <w:rsid w:val="61187559"/>
    <w:rsid w:val="6175447D"/>
    <w:rsid w:val="62092E18"/>
    <w:rsid w:val="625C7EED"/>
    <w:rsid w:val="627863A7"/>
    <w:rsid w:val="62BE1E54"/>
    <w:rsid w:val="62C57E82"/>
    <w:rsid w:val="62FC4E08"/>
    <w:rsid w:val="6412273A"/>
    <w:rsid w:val="645E4DB7"/>
    <w:rsid w:val="65A07437"/>
    <w:rsid w:val="65FA13F5"/>
    <w:rsid w:val="66A818DC"/>
    <w:rsid w:val="66F4590A"/>
    <w:rsid w:val="69053F44"/>
    <w:rsid w:val="69913E1E"/>
    <w:rsid w:val="6A333F49"/>
    <w:rsid w:val="6A3F35DF"/>
    <w:rsid w:val="6A64544E"/>
    <w:rsid w:val="6AA50A05"/>
    <w:rsid w:val="6AA82C11"/>
    <w:rsid w:val="6AF32471"/>
    <w:rsid w:val="6B00125C"/>
    <w:rsid w:val="6B321615"/>
    <w:rsid w:val="6B6320BC"/>
    <w:rsid w:val="6BC66ADE"/>
    <w:rsid w:val="6C4B349E"/>
    <w:rsid w:val="6CD77412"/>
    <w:rsid w:val="6CF636CF"/>
    <w:rsid w:val="6D0D79E4"/>
    <w:rsid w:val="6D212EF0"/>
    <w:rsid w:val="6E0F1746"/>
    <w:rsid w:val="6E747592"/>
    <w:rsid w:val="6F6638B2"/>
    <w:rsid w:val="6FC4136C"/>
    <w:rsid w:val="70936542"/>
    <w:rsid w:val="712D52F7"/>
    <w:rsid w:val="714401D0"/>
    <w:rsid w:val="72506497"/>
    <w:rsid w:val="727F515C"/>
    <w:rsid w:val="72BF41EA"/>
    <w:rsid w:val="73430029"/>
    <w:rsid w:val="73D13110"/>
    <w:rsid w:val="746D725E"/>
    <w:rsid w:val="75086353"/>
    <w:rsid w:val="755D199D"/>
    <w:rsid w:val="75A44310"/>
    <w:rsid w:val="7629236B"/>
    <w:rsid w:val="7657019E"/>
    <w:rsid w:val="7850184C"/>
    <w:rsid w:val="789B1485"/>
    <w:rsid w:val="7A3C5C98"/>
    <w:rsid w:val="7A4259A3"/>
    <w:rsid w:val="7AAF2754"/>
    <w:rsid w:val="7B6A3D77"/>
    <w:rsid w:val="7B6D3E0C"/>
    <w:rsid w:val="7B7E1B28"/>
    <w:rsid w:val="7C484A74"/>
    <w:rsid w:val="7C7662DA"/>
    <w:rsid w:val="7D742F87"/>
    <w:rsid w:val="7D887901"/>
    <w:rsid w:val="7DAB5A0B"/>
    <w:rsid w:val="7DB05215"/>
    <w:rsid w:val="7E9B288A"/>
    <w:rsid w:val="7EA64A73"/>
    <w:rsid w:val="7EF127D4"/>
    <w:rsid w:val="7F4A6841"/>
    <w:rsid w:val="7FBC31A1"/>
    <w:rsid w:val="7FC54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400" w:lineRule="exact"/>
      <w:jc w:val="center"/>
      <w:outlineLvl w:val="0"/>
    </w:pPr>
    <w:rPr>
      <w:rFonts w:ascii="Times New Roman" w:hAnsi="Times New Roman" w:eastAsia="方正小标宋_GBK"/>
      <w:bCs/>
      <w:kern w:val="44"/>
      <w:sz w:val="30"/>
      <w:szCs w:val="44"/>
    </w:rPr>
  </w:style>
  <w:style w:type="paragraph" w:styleId="3">
    <w:name w:val="heading 2"/>
    <w:basedOn w:val="1"/>
    <w:next w:val="1"/>
    <w:unhideWhenUsed/>
    <w:qFormat/>
    <w:uiPriority w:val="9"/>
    <w:pPr>
      <w:keepNext/>
      <w:keepLines/>
      <w:spacing w:beforeLines="0" w:beforeAutospacing="0" w:afterLines="0" w:afterAutospacing="0" w:line="400" w:lineRule="exact"/>
      <w:jc w:val="center"/>
      <w:outlineLvl w:val="1"/>
    </w:pPr>
    <w:rPr>
      <w:rFonts w:ascii="Arial" w:hAnsi="Arial" w:eastAsia="方正黑体_GBK"/>
      <w:sz w:val="24"/>
    </w:rPr>
  </w:style>
  <w:style w:type="paragraph" w:styleId="4">
    <w:name w:val="heading 3"/>
    <w:basedOn w:val="1"/>
    <w:next w:val="1"/>
    <w:unhideWhenUsed/>
    <w:qFormat/>
    <w:uiPriority w:val="9"/>
    <w:pPr>
      <w:keepNext/>
      <w:keepLines/>
      <w:spacing w:beforeLines="0" w:beforeAutospacing="0" w:afterLines="0" w:afterAutospacing="0" w:line="400" w:lineRule="exact"/>
      <w:jc w:val="center"/>
      <w:outlineLvl w:val="2"/>
    </w:pPr>
    <w:rPr>
      <w:rFonts w:ascii="Times New Roman" w:hAnsi="Times New Roman" w:eastAsia="方正书宋简体"/>
      <w:b/>
    </w:rPr>
  </w:style>
  <w:style w:type="character" w:default="1" w:styleId="15">
    <w:name w:val="Default Paragraph Font"/>
    <w:link w:val="16"/>
    <w:semiHidden/>
    <w:unhideWhenUsed/>
    <w:qFormat/>
    <w:uiPriority w:val="1"/>
    <w:rPr>
      <w:rFonts w:ascii="Tahoma" w:hAnsi="Tahoma"/>
      <w:sz w:val="24"/>
      <w:szCs w:val="20"/>
    </w:rPr>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Indent"/>
    <w:basedOn w:val="1"/>
    <w:qFormat/>
    <w:uiPriority w:val="0"/>
    <w:pPr>
      <w:spacing w:line="400" w:lineRule="exact"/>
      <w:ind w:firstLine="420" w:firstLineChars="200"/>
    </w:pPr>
    <w:rPr>
      <w:rFonts w:ascii="宋体" w:hAnsi="宋体"/>
      <w:szCs w:val="21"/>
    </w:rPr>
  </w:style>
  <w:style w:type="paragraph" w:styleId="7">
    <w:name w:val="Body Text Indent 2"/>
    <w:basedOn w:val="1"/>
    <w:qFormat/>
    <w:uiPriority w:val="0"/>
    <w:pPr>
      <w:spacing w:line="400" w:lineRule="exact"/>
      <w:ind w:firstLine="473" w:firstLineChars="200"/>
    </w:pPr>
    <w:rPr>
      <w:rFonts w:ascii="宋体" w:hAnsi="宋体"/>
      <w:b/>
      <w:sz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kern w:val="2"/>
      <w:sz w:val="18"/>
      <w:szCs w:val="18"/>
    </w:rPr>
  </w:style>
  <w:style w:type="paragraph" w:styleId="10">
    <w:name w:val="toc 1"/>
    <w:basedOn w:val="1"/>
    <w:next w:val="1"/>
    <w:semiHidden/>
    <w:unhideWhenUsed/>
    <w:qFormat/>
    <w:uiPriority w:val="39"/>
  </w:style>
  <w:style w:type="paragraph" w:styleId="11">
    <w:name w:val="toc 2"/>
    <w:basedOn w:val="1"/>
    <w:next w:val="1"/>
    <w:semiHidden/>
    <w:unhideWhenUsed/>
    <w:qFormat/>
    <w:uiPriority w:val="39"/>
    <w:pPr>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Char Char Char Char"/>
    <w:basedOn w:val="1"/>
    <w:link w:val="15"/>
    <w:qFormat/>
    <w:uiPriority w:val="0"/>
    <w:rPr>
      <w:rFonts w:ascii="Tahoma" w:hAnsi="Tahoma"/>
      <w:sz w:val="24"/>
      <w:szCs w:val="20"/>
    </w:rPr>
  </w:style>
  <w:style w:type="character" w:styleId="17">
    <w:name w:val="Strong"/>
    <w:qFormat/>
    <w:uiPriority w:val="22"/>
    <w:rPr>
      <w:b/>
    </w:rPr>
  </w:style>
  <w:style w:type="character" w:styleId="18">
    <w:name w:val="page number"/>
    <w:basedOn w:val="15"/>
    <w:qFormat/>
    <w:uiPriority w:val="0"/>
  </w:style>
  <w:style w:type="paragraph" w:styleId="19">
    <w:name w:val="List Paragraph"/>
    <w:basedOn w:val="1"/>
    <w:qFormat/>
    <w:uiPriority w:val="34"/>
    <w:pPr>
      <w:ind w:firstLine="420" w:firstLineChars="200"/>
    </w:pPr>
  </w:style>
  <w:style w:type="table" w:customStyle="1" w:styleId="20">
    <w:name w:val="Table Normal"/>
    <w:unhideWhenUsed/>
    <w:qFormat/>
    <w:uiPriority w:val="0"/>
    <w:tblPr>
      <w:tblCellMar>
        <w:top w:w="0" w:type="dxa"/>
        <w:left w:w="0" w:type="dxa"/>
        <w:bottom w:w="0" w:type="dxa"/>
        <w:right w:w="0" w:type="dxa"/>
      </w:tblCellMar>
    </w:tblPr>
  </w:style>
  <w:style w:type="paragraph" w:customStyle="1" w:styleId="21">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PC</Company>
  <Pages>55</Pages>
  <Words>11978</Words>
  <Characters>12217</Characters>
  <Lines>4</Lines>
  <Paragraphs>1</Paragraphs>
  <TotalTime>9</TotalTime>
  <ScaleCrop>false</ScaleCrop>
  <LinksUpToDate>false</LinksUpToDate>
  <CharactersWithSpaces>12819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2017-08-05T04:46:00Z</dcterms:created>
  <dc:creator>PC</dc:creator>
  <cp:lastModifiedBy>一天到晚游泳的鱼</cp:lastModifiedBy>
  <cp:lastPrinted>2023-11-25T01:59:00Z</cp:lastPrinted>
  <dcterms:modified xsi:type="dcterms:W3CDTF">2024-10-25T04:42:30Z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0150F9F8339944E79454D9FACC3E360E_13</vt:lpwstr>
  </property>
</Properties>
</file>